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Strafmaß-Erwartung der Staatsanwaltschaft</w:t>
      </w:r>
    </w:p>
    <w:p>
      <w:pPr>
        <w:jc w:val="left"/>
      </w:pPr>
      <w:r>
        <w:rPr>
          <w:b/>
        </w:rPr>
        <w:t>Aktenzeichen:</w:t>
      </w:r>
      <w:r>
        <w:t xml:space="preserve"> LG Frankfurt 5-22 KLs 188/26</w:t>
      </w:r>
    </w:p>
    <w:p>
      <w:pPr>
        <w:jc w:val="left"/>
      </w:pPr>
      <w:r>
        <w:rPr>
          <w:b/>
        </w:rPr>
        <w:t>Bearbeitung:</w:t>
      </w:r>
      <w:r>
        <w:t xml:space="preserve"> Kanzlei Wittfeldt-Steinheim (Analyse StA-Position)</w:t>
      </w:r>
    </w:p>
    <w:p>
      <w:pPr>
        <w:jc w:val="left"/>
      </w:pPr>
      <w:r>
        <w:rPr>
          <w:b/>
        </w:rPr>
        <w:t>Datum:</w:t>
      </w:r>
      <w:r>
        <w:t xml:space="preserve"> 05.03.2026</w:t>
      </w:r>
    </w:p>
    <w:p/>
    <w:p>
      <w:pPr>
        <w:pStyle w:val="Heading2"/>
      </w:pPr>
      <w:r>
        <w:rPr>
          <w:rFonts w:ascii="Times New Roman" w:hAnsi="Times New Roman"/>
        </w:rPr>
        <w:t>Strafmaßforderung Staatsanwaltschaft: 6 Jahre 6 Monate</w:t>
      </w:r>
    </w:p>
    <w:p>
      <w:pPr>
        <w:pStyle w:val="Heading3"/>
      </w:pPr>
      <w:r>
        <w:rPr>
          <w:rFonts w:ascii="Times New Roman" w:hAnsi="Times New Roman"/>
        </w:rPr>
        <w:t>Ausgangspunkt</w:t>
      </w:r>
    </w:p>
    <w:p>
      <w:pPr>
        <w:jc w:val="left"/>
      </w:pPr>
      <w:r>
        <w:t>Die Staatsanwaltschaft Frankfurt fordert 6 Jahre 6 Monate Freiheitsstrafe ohne Strafaussetzung zur Bewährung (§ 56 StGB). Diese Forderung basiert auf folgenden Strafzumessungserwägungen:</w:t>
      </w:r>
    </w:p>
    <w:p/>
    <w:p>
      <w:pPr>
        <w:pStyle w:val="Heading2"/>
      </w:pPr>
      <w:r>
        <w:rPr>
          <w:rFonts w:ascii="Times New Roman" w:hAnsi="Times New Roman"/>
        </w:rPr>
        <w:t>Belastende Gesichtspunkte (StA-Position)</w:t>
      </w:r>
    </w:p>
    <w:p>
      <w:pPr>
        <w:pStyle w:val="Heading3"/>
      </w:pPr>
      <w:r>
        <w:rPr>
          <w:rFonts w:ascii="Times New Roman" w:hAnsi="Times New Roman"/>
        </w:rPr>
        <w:t>1. Schadenshöhe 9 Mio. EUR</w:t>
      </w:r>
    </w:p>
    <w:p>
      <w:pPr>
        <w:jc w:val="left"/>
      </w:pPr>
      <w:r>
        <w:t>Der Gesamtschaden von 9 Mio. EUR ist das zentrale Belastungsmoment. Die Staatsanwaltschaft argumentiert, dass dieser Schaden weit über dem Schwellenwert von 50.000 EUR für den besonders schweren Fall (§ 266 Abs. 2 i.V.m. § 263 Abs. 3 Nr. 2 StGB) liegt. Eine Schadenshöhe von 9 Mio. EUR rechtfertige bereits für sich einen erheblichen Strafausspruch.</w:t>
      </w:r>
    </w:p>
    <w:p>
      <w:pPr>
        <w:jc w:val="left"/>
      </w:pPr>
      <w:r>
        <w:t>Die StA verweist auf BGH 1 StR 354/17: Bei Untreue-Schäden von über 5 Mio. EUR ohne vollständige Wiedergutmachung sei eine Strafaussetzung zur Bewährung in aller Regel ausgeschlossen.</w:t>
      </w:r>
    </w:p>
    <w:p>
      <w:pPr>
        <w:pStyle w:val="Heading3"/>
      </w:pPr>
      <w:r>
        <w:rPr>
          <w:rFonts w:ascii="Times New Roman" w:hAnsi="Times New Roman"/>
        </w:rPr>
        <w:t>2. Tatdauer und Tatanzahl</w:t>
      </w:r>
    </w:p>
    <w:p>
      <w:pPr>
        <w:jc w:val="left"/>
      </w:pPr>
      <w:r>
        <w:t>110 Einzelüberweisungen über vier Jahre (2020–2024) belegen nach Auffassung der StA besondere kriminelle Energie und planmäßiges Vorgehen. Die Tatdauer von 4 Jahren schließe eine spontane Überforderung aus. Bankert habe das System schrittweise eskaliert.</w:t>
      </w:r>
    </w:p>
    <w:p>
      <w:pPr>
        <w:pStyle w:val="Heading3"/>
      </w:pPr>
      <w:r>
        <w:rPr>
          <w:rFonts w:ascii="Times New Roman" w:hAnsi="Times New Roman"/>
        </w:rPr>
        <w:t>3. Verdeckungshandlungen</w:t>
      </w:r>
    </w:p>
    <w:p>
      <w:pPr>
        <w:jc w:val="left"/>
      </w:pPr>
      <w:r>
        <w:t>Die Verschleierung durch gefälschte Buchungsbelege (Bezeichnung als "Dienstleistungsgebühren", "Anlagemandate") begründe nach § 46 Abs. 2 StGB die Ausführungsweise als belastend. Der Angeklagte habe die Kontrollmechanismen des Unternehmens aktiv ausgehebelt.</w:t>
      </w:r>
    </w:p>
    <w:p>
      <w:pPr>
        <w:pStyle w:val="Heading3"/>
      </w:pPr>
      <w:r>
        <w:rPr>
          <w:rFonts w:ascii="Times New Roman" w:hAnsi="Times New Roman"/>
        </w:rPr>
        <w:t>4. Langjähriges Vertrauensverhältnis</w:t>
      </w:r>
    </w:p>
    <w:p>
      <w:pPr>
        <w:jc w:val="left"/>
      </w:pPr>
      <w:r>
        <w:t>Bankert nutzte ein über 16 Jahre aufgebautes Vertrauensverhältnis zur Müller &amp; Schmitt Treuhand GmbH. Der Missbrauch dieses Vertrauens wiege schwer (§ 46 Abs. 2 StGB: "Verhältnis zwischen Täter und Opfer").</w:t>
      </w:r>
    </w:p>
    <w:p>
      <w:pPr>
        <w:pStyle w:val="Heading3"/>
      </w:pPr>
      <w:r>
        <w:rPr>
          <w:rFonts w:ascii="Times New Roman" w:hAnsi="Times New Roman"/>
        </w:rPr>
        <w:t>5. Restschaden 4,8 Mio. EUR</w:t>
      </w:r>
    </w:p>
    <w:p>
      <w:pPr>
        <w:jc w:val="left"/>
      </w:pPr>
      <w:r>
        <w:t>Die Schadenswiedergutmachung von 4,2 Mio. EUR ändert nach StA-Auffassung nichts an der Strafwürdigkeit. Ein verbleibender Schaden von 4,8 Mio. EUR sei absolut erheblich. Die Rückzahlung lasse das Unrecht nicht entfallen.</w:t>
      </w:r>
    </w:p>
    <w:p/>
    <w:p>
      <w:pPr>
        <w:pStyle w:val="Heading2"/>
      </w:pPr>
      <w:r>
        <w:rPr>
          <w:rFonts w:ascii="Times New Roman" w:hAnsi="Times New Roman"/>
        </w:rPr>
        <w:t>Mildernde Gesichtspunkte (StA-Zugeständnisse)</w:t>
      </w:r>
    </w:p>
    <w:p>
      <w:pPr>
        <w:jc w:val="left"/>
      </w:pPr>
      <w:r>
        <w:t>Die Staatsanwaltschaft erkennt folgende Strafmilderungsgründe an, die sie in die Forderung von 6 J 6 M bereits eingepreist hat: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Gesichtspunkt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StA-Bewertung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Geständnis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Mildernd berücksichtigt (§ 46 Abs. 2 StGB)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Schadenswiedergutmachung 4,2 Mio.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Mildernd nach § 46a StGB; kein voller Ausgleich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Vorstrafenfreiheit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Mildernd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Kranke Ehefrau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Berücksichtigt, aber keine erhebliche Milderung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Selbstanzeige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Positiv, aber keine qualifizierte Reueleistung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Bewährungsargument der StA</w:t>
      </w:r>
    </w:p>
    <w:p>
      <w:pPr>
        <w:jc w:val="left"/>
      </w:pPr>
      <w:r>
        <w:t>Die StA lehnt § 56 StGB ausdrücklich ab:</w:t>
      </w:r>
    </w:p>
    <w:p>
      <w:pPr>
        <w:pStyle w:val="ListBullet"/>
      </w:pPr>
      <w:r>
        <w:t>§ 56 Abs. 2 StGB: Besondere Umstände, die eine Strafaussetzung trotz Strafe über 1 Jahr rechtfertigen, liegen nicht vor. Der Restsschaden von 4,8 Mio. EUR, die Tatdauer von vier Jahren und die kriminelle Energie sprechen gegen eine günstige Sozialprognose im Sinne des § 56 Abs. 1 StGB.</w:t>
      </w:r>
    </w:p>
    <w:p>
      <w:pPr>
        <w:pStyle w:val="ListBullet"/>
      </w:pPr>
      <w:r>
        <w:t>Verteidigung der Rechtsordnung (§ 56 Abs. 3 StGB): Bei einer Strafe von mehr als 2 Jahren und einem Schaden von 9 Mio. EUR gebiete die Verteidigung der Rechtsordnung die Vollstreckung der Strafe.</w:t>
      </w:r>
    </w:p>
    <w:p>
      <w:pPr>
        <w:pStyle w:val="ListBullet"/>
      </w:pPr>
      <w:r>
        <w:t>Präventivaspekt: Generalprävention erfordere bei Wirtschaftsdelikten dieser Größenordnung eine spürbare, vollzogene Strafe.</w:t>
      </w:r>
    </w:p>
    <w:p/>
    <w:p>
      <w:pPr>
        <w:pStyle w:val="Heading2"/>
      </w:pPr>
      <w:r>
        <w:rPr>
          <w:rFonts w:ascii="Times New Roman" w:hAnsi="Times New Roman"/>
        </w:rPr>
        <w:t>Analyse der Verteidigung zur StA-Position</w:t>
      </w:r>
    </w:p>
    <w:p>
      <w:pPr>
        <w:jc w:val="left"/>
      </w:pPr>
      <w:r>
        <w:t>Die StA-Forderung von 6 J 6 M erscheint im Licht der Vergleichsrechtsprechung überhöht. BGH-Urteile zu Untreue mit vergleichbaren Schadensbeträgen und vollständiger oder weitgehender Schadenswiedergutmachung zeigen Strafaussprüche im Bereich 3–4 Jahre. Die eigene Forderung der Verteidigung (2 J 6 M auf Bewährung) entspricht der Untergrenze des Spielraums. Das LG-Urteil (3 J 2 M ohne Bewährung) liegt innerhalb des Spielraums, ist aber revisionsrechtlich angreifbar wegen Strafzumessungsfehlern (fehlerhafte Gewichtung § 46a StGB).</w:t>
      </w:r>
    </w:p>
    <w:p>
      <w:pPr>
        <w:jc w:val="left"/>
      </w:pPr>
      <w:r>
        <w:rPr>
          <w:b/>
        </w:rPr>
        <w:t>Quelle § 56 StGB:</w:t>
      </w:r>
      <w:r>
        <w:t xml:space="preserve"> https://dejure.org/gesetze/StGB/56.html</w:t>
      </w:r>
    </w:p>
    <w:p>
      <w:pPr>
        <w:jc w:val="left"/>
      </w:pPr>
      <w:r>
        <w:rPr>
          <w:b/>
        </w:rPr>
        <w:t>Quelle § 46 StGB:</w:t>
      </w:r>
      <w:r>
        <w:t xml:space="preserve"> https://dejure.org/gesetze/StGB/46.html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Strafmaß-Erwartung der Staatsanwaltschaft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Strafmaß-Erwartung der Staatsanwaltschaft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Aktenzeichen: LG Frankfurt 5-22 KLs 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