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Plädoyer — Strafzumessungskern</w:t>
      </w:r>
    </w:p>
    <w:p>
      <w:pPr>
        <w:jc w:val="left"/>
      </w:pPr>
      <w:r>
        <w:rPr>
          <w:b/>
        </w:rPr>
        <w:t>Aktenzeichen:</w:t>
      </w:r>
      <w:r>
        <w:t xml:space="preserve"> LG Frankfurt 5-22 KLs 188/26</w:t>
      </w:r>
    </w:p>
    <w:p>
      <w:pPr>
        <w:jc w:val="left"/>
      </w:pPr>
      <w:r>
        <w:rPr>
          <w:b/>
        </w:rPr>
        <w:t>Verteidigerin:</w:t>
      </w:r>
      <w:r>
        <w:t xml:space="preserve"> Prof. Dr. Henrike Wittfeldt-Steinheim</w:t>
      </w:r>
    </w:p>
    <w:p>
      <w:pPr>
        <w:jc w:val="left"/>
      </w:pPr>
      <w:r>
        <w:rPr>
          <w:b/>
        </w:rPr>
        <w:t>Verhandlungstag:</w:t>
      </w:r>
      <w:r>
        <w:t xml:space="preserve"> 21. April 2026, 7. Hauptverhandlungstag</w:t>
      </w:r>
    </w:p>
    <w:p>
      <w:pPr>
        <w:jc w:val="left"/>
      </w:pPr>
      <w:r>
        <w:rPr>
          <w:b/>
        </w:rPr>
        <w:t>Saal 168, Landgericht Frankfurt am Main</w:t>
      </w:r>
    </w:p>
    <w:p/>
    <w:p>
      <w:pPr>
        <w:pStyle w:val="Heading2"/>
      </w:pPr>
      <w:r>
        <w:rPr>
          <w:rFonts w:ascii="Times New Roman" w:hAnsi="Times New Roman"/>
        </w:rPr>
        <w:t>Plädoyer der Verteidigung</w:t>
      </w:r>
    </w:p>
    <w:p>
      <w:pPr>
        <w:jc w:val="left"/>
      </w:pPr>
      <w:r>
        <w:rPr>
          <w:i/>
        </w:rPr>
        <w:t>Gehalten von Prof. Dr. Henrike Wittfeldt-Steinheim am 21.04.2026</w:t>
      </w:r>
    </w:p>
    <w:p/>
    <w:p>
      <w:pPr>
        <w:jc w:val="left"/>
      </w:pPr>
      <w:r>
        <w:t>Sehr geehrte Vorsitzende Richterin Dr. Brendel,</w:t>
      </w:r>
    </w:p>
    <w:p>
      <w:pPr>
        <w:jc w:val="left"/>
      </w:pPr>
      <w:r>
        <w:t>sehr geehrte Damen und Herren der Kammer,</w:t>
      </w:r>
    </w:p>
    <w:p>
      <w:pPr>
        <w:jc w:val="left"/>
      </w:pPr>
      <w:r>
        <w:t>ich komme nun zum Kern meines Plädoyers: zur Strafzumessung.</w:t>
      </w:r>
    </w:p>
    <w:p/>
    <w:p>
      <w:pPr>
        <w:pStyle w:val="Heading3"/>
      </w:pPr>
      <w:r>
        <w:rPr>
          <w:rFonts w:ascii="Times New Roman" w:hAnsi="Times New Roman"/>
        </w:rPr>
        <w:t>I. Das Gewicht der Tat</w:t>
      </w:r>
    </w:p>
    <w:p>
      <w:pPr>
        <w:jc w:val="left"/>
      </w:pPr>
      <w:r>
        <w:t>Ich stehe nicht hier, um die Tat meines Mandanten kleinzureden. Konrad Bankert hat über vier Jahre systematisch Fremdvermögen umgeleitet und damit 9 Millionen Euro Schaden verursacht. Das ist schwer. Das ist strafbar. Das ist Untreue nach § 266 StGB, und mein Mandant bekennt sich dazu.</w:t>
      </w:r>
    </w:p>
    <w:p>
      <w:pPr>
        <w:jc w:val="left"/>
      </w:pPr>
      <w:r>
        <w:t xml:space="preserve">Aber, sehr geehrte Kammer, § 46 StGB verpflichtet Sie nicht zur Abschreckungsstrafe. § 46 StGB verpflichtet Sie zur </w:t>
      </w:r>
      <w:r>
        <w:rPr>
          <w:b/>
        </w:rPr>
        <w:t>schuldangemessenen</w:t>
      </w:r>
      <w:r>
        <w:t xml:space="preserve"> Strafe. Und Schuld — das hat der BGH in BGHSt 7, 28 unmissverständlich klargestellt — ist ein Spielraum, kein Punkt.</w:t>
      </w:r>
    </w:p>
    <w:p/>
    <w:p>
      <w:pPr>
        <w:pStyle w:val="Heading3"/>
      </w:pPr>
      <w:r>
        <w:rPr>
          <w:rFonts w:ascii="Times New Roman" w:hAnsi="Times New Roman"/>
        </w:rPr>
        <w:t>II. Was die Tat nicht war</w:t>
      </w:r>
    </w:p>
    <w:p>
      <w:pPr>
        <w:jc w:val="left"/>
      </w:pPr>
      <w:r>
        <w:t>Konrad Bankert hat kein Geld für Villen, Jachten oder Urlaube verwendet. Er hat Geld — das fremdes war — in eine riskante Strategie gesteckt, um einen alten Fehler zu heilen, für den er sich verantwortlich fühlte. Das ändert nichts an der Strafbarkeit. Aber es ändert die Gesinnung. § 46 Abs. 2 StGB fragt ausdrücklich: Was waren die Beweggründe und Ziele? Die Beweggründe Bankerts waren nicht Habgier — sie waren fehlgeleitetes Pflichtgefühl.</w:t>
      </w:r>
    </w:p>
    <w:p/>
    <w:p>
      <w:pPr>
        <w:pStyle w:val="Heading3"/>
      </w:pPr>
      <w:r>
        <w:rPr>
          <w:rFonts w:ascii="Times New Roman" w:hAnsi="Times New Roman"/>
        </w:rPr>
        <w:t>III. Die Wiedergutmachung</w:t>
      </w:r>
    </w:p>
    <w:p>
      <w:pPr>
        <w:jc w:val="left"/>
      </w:pPr>
      <w:r>
        <w:t>Mein Mandant hat alles gegeben. Buchstäblich alles.</w:t>
      </w:r>
    </w:p>
    <w:p>
      <w:pPr>
        <w:jc w:val="left"/>
      </w:pPr>
      <w:r>
        <w:t>Das Haus — weg. Die Lebensversicherungen — weg. Das Depot — weg. Die Ersparnisse — weg. 4,2 Millionen Euro. Seine Frau Sandra, die mit einem schwer kranken Herzen auf eine Transplantation wartet, hat auf ihren Anteil am Hauserlös verzichtet. Seine Söhne David und Lukas haben Studienkredite aufgenommen. Diese Familie hat für die Wiedergutmachung alles geopfert.</w:t>
      </w:r>
    </w:p>
    <w:p>
      <w:pPr>
        <w:jc w:val="left"/>
      </w:pPr>
      <w:r>
        <w:t>§ 46a StGB ist nicht nur ein Milderungsgrund. § 46a StGB ist — nach dem ausdrücklichen Willen des Gesetzgebers — die gesetzliche Anerkennung der besonderen Strafwürdigkeit des täterseits unternommenen Ausgleichs. Diese Norm muss gewirkt werden. Und sie wirkt durch eine Strafrahmenverschiebung nach § 49 StGB — die ich ausdrücklich beantrage.</w:t>
      </w:r>
    </w:p>
    <w:p/>
    <w:p>
      <w:pPr>
        <w:pStyle w:val="Heading3"/>
      </w:pPr>
      <w:r>
        <w:rPr>
          <w:rFonts w:ascii="Times New Roman" w:hAnsi="Times New Roman"/>
        </w:rPr>
        <w:t>IV. Der Mensch Konrad Bankert</w:t>
      </w:r>
    </w:p>
    <w:p>
      <w:pPr>
        <w:jc w:val="left"/>
      </w:pPr>
      <w:r>
        <w:t>Ich bitte die Kammer, den Menschen zu sehen. 54 Jahre, keine einzige Vorstrafe. 28 Jahre berufliche Integrität. Zivildienst bei der Caritas. Vorsitzender eines Sportvereins. Mitglied des Kirchenvorstands.</w:t>
      </w:r>
    </w:p>
    <w:p>
      <w:pPr>
        <w:jc w:val="left"/>
      </w:pPr>
      <w:r>
        <w:t>Eine Tat von vier Jahren in einem Leben von 54 Jahren. Die BGH-Rechtsprechung — BGH NJW 2020, 2573 — sagt: Das zählt. Das ist ein gewichtiger Milderungsgrund.</w:t>
      </w:r>
    </w:p>
    <w:p/>
    <w:p>
      <w:pPr>
        <w:pStyle w:val="Heading3"/>
      </w:pPr>
      <w:r>
        <w:rPr>
          <w:rFonts w:ascii="Times New Roman" w:hAnsi="Times New Roman"/>
        </w:rPr>
        <w:t>V. Der Bewährungsantrag</w:t>
      </w:r>
    </w:p>
    <w:p>
      <w:pPr>
        <w:jc w:val="left"/>
      </w:pPr>
      <w:r>
        <w:t>Ich beantrage eine Freiheitsstrafe von 2 Jahren und 6 Monaten mit Strafaussetzung zur Bewährung nach § 56 Abs. 2 StGB.</w:t>
      </w:r>
    </w:p>
    <w:p>
      <w:pPr>
        <w:jc w:val="left"/>
      </w:pPr>
      <w:r>
        <w:t>Der psychiatrische Sachverstand — Dr. Haesler — sagt Ihnen: Rückfallgefahr gering. Bewährungseignung bejaht.</w:t>
      </w:r>
    </w:p>
    <w:p>
      <w:pPr>
        <w:jc w:val="left"/>
      </w:pPr>
      <w:r>
        <w:t>§ 56 Abs. 3 StGB — Verteidigung der Rechtsordnung — greift nicht. Ein Mann, der 4,2 Millionen Euro zurückgezahlt hat, der seine ganze Familie für die Wiedergutmachung belastet hat, hat nicht die Rechtsordnung verhöhnt. Er hat sie geachtet — wenn auch erst nach der Tat.</w:t>
      </w:r>
    </w:p>
    <w:p/>
    <w:p>
      <w:pPr>
        <w:pStyle w:val="Heading3"/>
      </w:pPr>
      <w:r>
        <w:rPr>
          <w:rFonts w:ascii="Times New Roman" w:hAnsi="Times New Roman"/>
        </w:rPr>
        <w:t>VI. Schlussantrag</w:t>
      </w:r>
    </w:p>
    <w:p>
      <w:pPr>
        <w:jc w:val="left"/>
      </w:pPr>
      <w:r>
        <w:t>Ich beantrage:</w:t>
      </w:r>
    </w:p>
    <w:p>
      <w:pPr>
        <w:jc w:val="left"/>
      </w:pPr>
      <w:r>
        <w:rPr>
          <w:b/>
        </w:rPr>
        <w:t>Freiheitsstrafe von 2 Jahren und 6 Monaten, Strafaussetzung zur Bewährung gemäß § 56 Abs. 2 StGB, Bewährungszeit 3 Jahre, mit Auflagen gemäß meinem Schriftsatz vom 18.04.2026.</w:t>
      </w:r>
    </w:p>
    <w:p>
      <w:pPr>
        <w:jc w:val="left"/>
      </w:pPr>
      <w:r>
        <w:t>Sehr geehrte Kammer, zeigen Sie, dass das deutsche Strafrecht Wiedergutmachung belohnt. Zeigen Sie, dass § 46a StGB keine Leerformel ist.</w:t>
      </w:r>
    </w:p>
    <w:p>
      <w:pPr>
        <w:jc w:val="left"/>
      </w:pPr>
      <w:r>
        <w:t>Vielen Dank.</w:t>
      </w:r>
    </w:p>
    <w:p/>
    <w:p>
      <w:pPr>
        <w:jc w:val="left"/>
      </w:pPr>
      <w:r>
        <w:rPr>
          <w:i/>
        </w:rPr>
        <w:t>Prof. Dr. Henrike Wittfeldt-Steinheim</w:t>
      </w:r>
    </w:p>
    <w:p>
      <w:pPr>
        <w:jc w:val="left"/>
      </w:pPr>
      <w:r>
        <w:rPr>
          <w:i/>
        </w:rPr>
        <w:t>Frankfurt am Main, 21. April 2026</w:t>
      </w:r>
    </w:p>
    <w:p>
      <w:pPr>
        <w:jc w:val="left"/>
      </w:pPr>
      <w:r>
        <w:rPr>
          <w:b/>
        </w:rPr>
        <w:t>Quellen:</w:t>
      </w:r>
    </w:p>
    <w:p>
      <w:pPr>
        <w:pStyle w:val="ListBullet"/>
      </w:pPr>
      <w:r>
        <w:t>§ 46 StGB: https://dejure.org/gesetze/StGB/46.html</w:t>
      </w:r>
    </w:p>
    <w:p>
      <w:pPr>
        <w:pStyle w:val="ListBullet"/>
      </w:pPr>
      <w:r>
        <w:t>§ 46a StGB: https://dejure.org/gesetze/StGB/46a.html</w:t>
      </w:r>
    </w:p>
    <w:p>
      <w:pPr>
        <w:pStyle w:val="ListBullet"/>
      </w:pPr>
      <w:r>
        <w:t>§ 56 StGB: https://dejure.org/gesetze/StGB/56.html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Frankfurt</w:t>
    </w:r>
  </w:p>
  <w:p>
    <w:pPr>
      <w:jc w:val="left"/>
      <w:pBdr>
        <w:bottom w:val="single" w:sz="6" w:space="2" w:color="3B3F45"/>
      </w:pBdr>
    </w:pPr>
    <w:r>
      <w:rPr>
        <w:rFonts w:ascii="Times New Roman" w:hAnsi="Times New Roman"/>
        <w:color w:val="6B6B66"/>
        <w:sz w:val="16"/>
      </w:rPr>
      <w:t>Landgericht Frankfurt am Main · Aktenzeichen: LG Frankfurt 5-22 KLs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