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Revisionsbegründung — BGH, Strafzumessungsfehler</w:t>
      </w:r>
    </w:p>
    <w:p>
      <w:pPr>
        <w:jc w:val="left"/>
      </w:pPr>
      <w:r>
        <w:rPr>
          <w:b/>
        </w:rPr>
        <w:t>An den:</w:t>
      </w:r>
      <w:r>
        <w:t xml:space="preserve"> Bundesgerichtshof, 5. Strafsenat, Herrenstraße 45a, 76133 Karlsruhe</w:t>
      </w:r>
    </w:p>
    <w:p>
      <w:pPr>
        <w:jc w:val="left"/>
      </w:pPr>
      <w:r>
        <w:rPr>
          <w:b/>
        </w:rPr>
        <w:t>Von:</w:t>
      </w:r>
      <w:r>
        <w:t xml:space="preserve"> Prof. Dr. Henrike Wittfeldt-Steinheim, Bockenheimer Anlage 18, 60322 Frankfurt am Main</w:t>
      </w:r>
    </w:p>
    <w:p>
      <w:pPr>
        <w:jc w:val="left"/>
      </w:pPr>
      <w:r>
        <w:rPr>
          <w:b/>
        </w:rPr>
        <w:t>BGH-Aktenzeichen:</w:t>
      </w:r>
      <w:r>
        <w:t xml:space="preserve"> BGH 5 StR 2188/26</w:t>
      </w:r>
    </w:p>
    <w:p>
      <w:pPr>
        <w:jc w:val="left"/>
      </w:pPr>
      <w:r>
        <w:rPr>
          <w:b/>
        </w:rPr>
        <w:t>LG-Aktenzeichen: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Datum:</w:t>
      </w:r>
      <w:r>
        <w:t xml:space="preserve"> 26. Mai 2026</w:t>
      </w:r>
    </w:p>
    <w:p/>
    <w:p>
      <w:pPr>
        <w:pStyle w:val="Heading2"/>
      </w:pPr>
      <w:r>
        <w:rPr>
          <w:rFonts w:ascii="Times New Roman" w:hAnsi="Times New Roman"/>
        </w:rPr>
        <w:t>Revisionsbegründungsschrift</w:t>
      </w:r>
    </w:p>
    <w:p>
      <w:pPr>
        <w:pStyle w:val="Heading3"/>
      </w:pPr>
      <w:r>
        <w:rPr>
          <w:rFonts w:ascii="Times New Roman" w:hAnsi="Times New Roman"/>
        </w:rPr>
        <w:t>I. Einleitung</w:t>
      </w:r>
    </w:p>
    <w:p>
      <w:pPr>
        <w:jc w:val="left"/>
      </w:pPr>
      <w:r>
        <w:t xml:space="preserve">Mit Urteil vom 21. April 2026 hat das Landgericht Frankfurt am Main, 5. Große Strafkammer (Az. 5-22 KLs 188/26) den Angeklagten Konrad Bankert wegen Untreue in 110 Fällen zu einer Gesamtfreiheitsstrafe von 3 Jahren und 2 Monaten ohne Strafaussetzung zur Bewährung verurteilt. Gegen dieses Urteil richtet sich die rechtzeitig eingelegte Revision. Die Revision ist auf den </w:t>
      </w:r>
      <w:r>
        <w:rPr>
          <w:b/>
        </w:rPr>
        <w:t>Strafausspruch</w:t>
      </w:r>
      <w:r>
        <w:t xml:space="preserve"> beschränkt; der Schuldspruch wird nicht angefochten.</w:t>
      </w:r>
    </w:p>
    <w:p>
      <w:pPr>
        <w:jc w:val="left"/>
      </w:pPr>
      <w:r>
        <w:t>Die Revision wird auf die Verletzung materiellen Rechts (§ 337 Abs. 1 StPO) gestützt.</w:t>
      </w:r>
    </w:p>
    <w:p>
      <w:pPr>
        <w:jc w:val="left"/>
      </w:pPr>
      <w:r>
        <w:rPr>
          <w:b/>
        </w:rPr>
        <w:t>Quelle § 337 StPO:</w:t>
      </w:r>
      <w:r>
        <w:t xml:space="preserve"> https://dejure.org/gesetze/StPO/337.html</w:t>
      </w:r>
    </w:p>
    <w:p/>
    <w:p>
      <w:pPr>
        <w:pStyle w:val="Heading3"/>
      </w:pPr>
      <w:r>
        <w:rPr>
          <w:rFonts w:ascii="Times New Roman" w:hAnsi="Times New Roman"/>
        </w:rPr>
        <w:t>II. Revisionsrüge 1 — Fehlerhafte Ablehnung des § 46a StGB</w:t>
      </w:r>
    </w:p>
    <w:p>
      <w:pPr>
        <w:jc w:val="left"/>
      </w:pPr>
      <w:r>
        <w:rPr>
          <w:b/>
        </w:rPr>
        <w:t>Rüge:</w:t>
      </w:r>
      <w:r>
        <w:t xml:space="preserve"> Das LG Frankfurt hat die Voraussetzungen des § 46a Nr. 1 StGB fehlerhaft verneint.</w:t>
      </w:r>
    </w:p>
    <w:p>
      <w:pPr>
        <w:jc w:val="left"/>
      </w:pPr>
      <w:r>
        <w:rPr>
          <w:b/>
        </w:rPr>
        <w:t>Begründung:</w:t>
      </w:r>
    </w:p>
    <w:p>
      <w:pPr>
        <w:jc w:val="left"/>
      </w:pPr>
      <w:r>
        <w:t>Das LG begründet die Ablehnung damit, die Wiedergutmachung von 4,2 Mio. EUR stelle bei einem Gesamtschaden von 9 Mio. EUR keinen "erheblichen Teil" dar, "da mehr als die Hälfte des Schadens unausgeglichen geblieben ist".</w:t>
      </w:r>
    </w:p>
    <w:p>
      <w:pPr>
        <w:jc w:val="left"/>
      </w:pPr>
      <w:r>
        <w:t>Diese Begründung verstößt gegen die Rechtsprechung des Bundesgerichtshofs zu § 46a StGB. Der BGH hat ausdrücklich klargestellt, dass kein starres Prozentverhältnis für die "Erheblichkeit" der Wiedergutmachung gilt. Maßgeblich ist eine Gesamtschau unter Berücksichtigung:</w:t>
      </w:r>
    </w:p>
    <w:p>
      <w:pPr>
        <w:pStyle w:val="ListNumber"/>
      </w:pPr>
      <w:r>
        <w:t>der absoluten Höhe der Wiedergutmachung (hier: 4,2 Mio. EUR),</w:t>
      </w:r>
    </w:p>
    <w:p>
      <w:pPr>
        <w:pStyle w:val="ListNumber"/>
      </w:pPr>
      <w:r>
        <w:t>der persönlichen Opferbereitschaft des Täters (Liquidierung sämtlicher Vermögenswerte),</w:t>
      </w:r>
    </w:p>
    <w:p>
      <w:pPr>
        <w:pStyle w:val="ListNumber"/>
      </w:pPr>
      <w:r>
        <w:t>der sozialen Umstände (Beiträge der Familie),</w:t>
      </w:r>
    </w:p>
    <w:p>
      <w:pPr>
        <w:pStyle w:val="ListNumber"/>
      </w:pPr>
      <w:r>
        <w:t>des Zeitpunkts der Wiedergutmachung (vor der Hauptverhandlung).</w:t>
      </w:r>
    </w:p>
    <w:p>
      <w:pPr>
        <w:jc w:val="left"/>
      </w:pPr>
      <w:r>
        <w:t>Die starre 50-Prozent-Grenze, die das LG implizit anlegt, findet keine Grundlage in Gesetz oder Rechtsprechung. Insoweit verletzt das Urteil § 46a StGB i.V.m. § 49 Abs. 1 StGB.</w:t>
      </w:r>
    </w:p>
    <w:p>
      <w:pPr>
        <w:jc w:val="left"/>
      </w:pPr>
      <w:r>
        <w:rPr>
          <w:b/>
        </w:rPr>
        <w:t>Folge:</w:t>
      </w:r>
      <w:r>
        <w:t xml:space="preserve"> Der Strafausspruch beruht auf diesem Rechtsfehler. Hätte das LG die Strafrahmenverschiebung nach § 49 Abs. 1 StGB vorgenommen (Mindeststrafe 3 Monate statt 1 Jahr), wäre es möglicherweise zu einer milderen Gesamtstrafe gelangt.</w:t>
      </w:r>
    </w:p>
    <w:p/>
    <w:p>
      <w:pPr>
        <w:pStyle w:val="Heading3"/>
      </w:pPr>
      <w:r>
        <w:rPr>
          <w:rFonts w:ascii="Times New Roman" w:hAnsi="Times New Roman"/>
        </w:rPr>
        <w:t>III. Revisionsrüge 2 — Unzureichende Begründung der Spielraum-Bestimmung</w:t>
      </w:r>
    </w:p>
    <w:p>
      <w:pPr>
        <w:jc w:val="left"/>
      </w:pPr>
      <w:r>
        <w:rPr>
          <w:b/>
        </w:rPr>
        <w:t>Rüge:</w:t>
      </w:r>
      <w:r>
        <w:t xml:space="preserve"> Das LG hat den Spielraum schuldangemessener Strafen nicht ausreichend begründet (§ 267 Abs. 3 StPO).</w:t>
      </w:r>
    </w:p>
    <w:p>
      <w:pPr>
        <w:jc w:val="left"/>
      </w:pPr>
      <w:r>
        <w:rPr>
          <w:b/>
        </w:rPr>
        <w:t>Begründung:</w:t>
      </w:r>
    </w:p>
    <w:p>
      <w:pPr>
        <w:jc w:val="left"/>
      </w:pPr>
      <w:r>
        <w:t>Das LG bezeichnet die Strafe von 3 J 2 M lediglich als "im unteren Drittel des schuldangemessenen Bereichs", ohne:</w:t>
      </w:r>
    </w:p>
    <w:p>
      <w:pPr>
        <w:pStyle w:val="ListBullet"/>
      </w:pPr>
      <w:r>
        <w:t>die obere und untere Grenze dieses Bereichs anzugeben,</w:t>
      </w:r>
    </w:p>
    <w:p>
      <w:pPr>
        <w:pStyle w:val="ListBullet"/>
      </w:pPr>
      <w:r>
        <w:t>den konkreten Ausgangspunkt der Strafzumessung zu benennen,</w:t>
      </w:r>
    </w:p>
    <w:p>
      <w:pPr>
        <w:pStyle w:val="ListBullet"/>
      </w:pPr>
      <w:r>
        <w:t>die Abwägung der belastenden und mildernden Umstände im Verhältnis zueinander darzustellen.</w:t>
      </w:r>
    </w:p>
    <w:p>
      <w:pPr>
        <w:jc w:val="left"/>
      </w:pPr>
      <w:r>
        <w:t>Nach der gefestigten BGH-Rechtsprechung zu § 267 Abs. 3 StPO muss das Urteil die Strafzumessungserwägungen so darlegen, dass das Revisionsgericht die Rechtmäßigkeit überprüfen kann. Die pauschale Formel "unteres Drittel" genügt diesen Anforderungen nicht.</w:t>
      </w:r>
    </w:p>
    <w:p/>
    <w:p>
      <w:pPr>
        <w:pStyle w:val="Heading3"/>
      </w:pPr>
      <w:r>
        <w:rPr>
          <w:rFonts w:ascii="Times New Roman" w:hAnsi="Times New Roman"/>
        </w:rPr>
        <w:t>IV. Revisionsrüge 3 — Fehlerhafte Bewährungsversagung</w:t>
      </w:r>
    </w:p>
    <w:p>
      <w:pPr>
        <w:jc w:val="left"/>
      </w:pPr>
      <w:r>
        <w:rPr>
          <w:b/>
        </w:rPr>
        <w:t>Rüge:</w:t>
      </w:r>
      <w:r>
        <w:t xml:space="preserve"> Das LG hat die Bewährungsversagung auf § 56 Abs. 3 StGB gestützt, ohne die Voraussetzungen dieser Norm ausreichend zu prüfen.</w:t>
      </w:r>
    </w:p>
    <w:p>
      <w:pPr>
        <w:jc w:val="left"/>
      </w:pPr>
      <w:r>
        <w:rPr>
          <w:b/>
        </w:rPr>
        <w:t>Begründung:</w:t>
      </w:r>
    </w:p>
    <w:p>
      <w:pPr>
        <w:jc w:val="left"/>
      </w:pPr>
      <w:r>
        <w:t>Das LG verweist auf die "Verteidigung der Rechtsordnung" und den "Signalfunktionsverlust" ohne konkrete Auseinandersetzung mit der BGH-Rechtsprechung zu § 56 Abs. 3 StGB (restriktive Auslegung, vgl. BGH NStZ 2021, 375). Insbesondere fehlt eine Auseinandersetzung damit, ob die erhebliche Schadenswiedergutmachung (4,2 Mio. EUR) die Signalfunktion bereits hinreichend sicherstellt.</w:t>
      </w:r>
    </w:p>
    <w:p/>
    <w:p>
      <w:pPr>
        <w:pStyle w:val="Heading3"/>
      </w:pPr>
      <w:r>
        <w:rPr>
          <w:rFonts w:ascii="Times New Roman" w:hAnsi="Times New Roman"/>
        </w:rPr>
        <w:t>V. Antrag</w:t>
      </w:r>
    </w:p>
    <w:p>
      <w:pPr>
        <w:jc w:val="left"/>
      </w:pPr>
      <w:r>
        <w:t>Die Verteidigung beantragt:</w:t>
      </w:r>
    </w:p>
    <w:p>
      <w:pPr>
        <w:jc w:val="left"/>
      </w:pPr>
      <w:r>
        <w:rPr>
          <w:b/>
        </w:rPr>
        <w:t>Das Urteil des LG Frankfurt vom 21. April 2026 wird im Strafausspruch aufgehoben und zur erneuten Verhandlung und Entscheidung an eine andere Strafkammer des LG Frankfurt zurückverwiesen.</w:t>
      </w:r>
    </w:p>
    <w:p>
      <w:pPr>
        <w:jc w:val="left"/>
      </w:pPr>
      <w:r>
        <w:t>Hilfsweise: Freisprechung vom Strafausspruch und Zurückverweisung mit der Maßgabe, eine Freiheitsstrafe nicht über 2 Jahren und 6 Monaten mit Strafaussetzung zur Bewährung zu verhängen.</w:t>
      </w:r>
    </w:p>
    <w:p/>
    <w:p>
      <w:pPr>
        <w:jc w:val="left"/>
      </w:pPr>
      <w:r>
        <w:rPr>
          <w:b/>
        </w:rPr>
        <w:t>Prof. Dr. Henrike Wittfeldt-Steinheim</w:t>
      </w:r>
    </w:p>
    <w:p>
      <w:pPr>
        <w:jc w:val="left"/>
      </w:pPr>
      <w:r>
        <w:t>Rechtsanwältin</w:t>
      </w:r>
    </w:p>
    <w:p>
      <w:pPr>
        <w:jc w:val="left"/>
      </w:pPr>
      <w:r>
        <w:t>Frankfurt am Main, 26. Mai 2026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337 StPO: https://dejure.org/gesetze/StPO/337.html</w:t>
      </w:r>
    </w:p>
    <w:p>
      <w:pPr>
        <w:pStyle w:val="ListBullet"/>
      </w:pPr>
      <w:r>
        <w:t>§ 46a StGB: https://dejure.org/gesetze/StGB/46a.html</w:t>
      </w:r>
    </w:p>
    <w:p>
      <w:pPr>
        <w:pStyle w:val="ListBullet"/>
      </w:pPr>
      <w:r>
        <w:t>§ 56 StGB: https://dejure.org/gesetze/StGB/56.html</w:t>
      </w:r>
    </w:p>
    <w:p>
      <w:pPr>
        <w:pStyle w:val="ListBullet"/>
      </w:pPr>
      <w:r>
        <w:t>BGH Rechtsprechung: https://www.bundesgerichtshof.de/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5. Strafsenat, Herrenstraße 45a, 76133 Karlsruhe · Aktenzeichen: BGH 5 StR 2188/26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