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Paragrafix GmbH: Reviewauftrag Fortbestehensprognose</w:t>
      </w:r>
    </w:p>
    <w:p>
      <w:pPr>
        <w:jc w:val="left"/>
      </w:pPr>
      <w:r>
        <w:rPr>
          <w:b/>
        </w:rPr>
        <w:t>Aktenzeichen Reviewer:</w:t>
      </w:r>
      <w:r>
        <w:t xml:space="preserve"> TR-QK-2026-PFX-0712</w:t>
      </w:r>
    </w:p>
    <w:p>
      <w:pPr>
        <w:jc w:val="left"/>
      </w:pPr>
      <w:r>
        <w:rPr>
          <w:b/>
        </w:rPr>
        <w:t>Hausnummer Paragrafix:</w:t>
      </w:r>
      <w:r>
        <w:t xml:space="preserve"> PFX-2026-FoBP-v23</w:t>
      </w:r>
    </w:p>
    <w:p>
      <w:pPr>
        <w:jc w:val="left"/>
      </w:pPr>
      <w:r>
        <w:rPr>
          <w:b/>
        </w:rPr>
        <w:t>Datum Mandatsannahme:</w:t>
      </w:r>
      <w:r>
        <w:t xml:space="preserve"> 08. Januar 2026</w:t>
      </w:r>
    </w:p>
    <w:p>
      <w:pPr>
        <w:jc w:val="left"/>
      </w:pPr>
      <w:r>
        <w:rPr>
          <w:b/>
        </w:rPr>
        <w:t>Bearbeiterin:</w:t>
      </w:r>
      <w:r>
        <w:t xml:space="preserve"> Dr. Henrike Wittfeldt-Steinheim, WPin, RAin</w:t>
      </w:r>
    </w:p>
    <w:p/>
    <w:p>
      <w:pPr>
        <w:pStyle w:val="Heading2"/>
      </w:pPr>
      <w:r>
        <w:rPr>
          <w:rFonts w:ascii="Times New Roman" w:hAnsi="Times New Roman"/>
        </w:rPr>
        <w:t>Auftragsgegenstand</w:t>
      </w:r>
    </w:p>
    <w:p>
      <w:pPr>
        <w:jc w:val="left"/>
      </w:pPr>
      <w:r>
        <w:t xml:space="preserve">TabellenReview Wittfeldt Federkamp PartG (nachfolgend: Reviewer) nimmt den Auftrag der Paragrafix GmbH, Berlin, zur Durchführung eines unabhängigen Tabellenreviews an. Gegenstand ist das Excel-Modell zur Fortbestehensprognose in der Version v23 vom 05. Januar 2026 (Dateiname: </w:t>
      </w:r>
      <w:r>
        <w:t>PFX-FoBP-Modell-v23-final.xlsx</w:t>
      </w:r>
      <w:r>
        <w:t>, SHA-256-Prüfsumme gesichert).</w:t>
      </w:r>
    </w:p>
    <w:p>
      <w:pPr>
        <w:pStyle w:val="Heading3"/>
      </w:pPr>
      <w:r>
        <w:rPr>
          <w:rFonts w:ascii="Times New Roman" w:hAnsi="Times New Roman"/>
        </w:rPr>
        <w:t>Auftraggeberin</w:t>
      </w:r>
    </w:p>
    <w:p>
      <w:pPr>
        <w:jc w:val="left"/>
      </w:pPr>
      <w:r>
        <w:t>Paragrafix GmbH</w:t>
      </w:r>
    </w:p>
    <w:p>
      <w:pPr>
        <w:jc w:val="left"/>
      </w:pPr>
      <w:r>
        <w:t>Friedrichstr. 188, 10117 Berlin</w:t>
      </w:r>
    </w:p>
    <w:p>
      <w:pPr>
        <w:jc w:val="left"/>
      </w:pPr>
      <w:r>
        <w:t>HRB 147832 B — Amtsgericht Charlottenburg</w:t>
      </w:r>
    </w:p>
    <w:p>
      <w:pPr>
        <w:jc w:val="left"/>
      </w:pPr>
      <w:r>
        <w:t>Vertreten durch: Dr. Cornelius Vellbruck-Steinheim (GF), Annegret Pellbach-Roosendaal (CFO)</w:t>
      </w:r>
    </w:p>
    <w:p>
      <w:pPr>
        <w:pStyle w:val="Heading3"/>
      </w:pPr>
      <w:r>
        <w:rPr>
          <w:rFonts w:ascii="Times New Roman" w:hAnsi="Times New Roman"/>
        </w:rPr>
        <w:t>Auftragnehmer</w:t>
      </w:r>
    </w:p>
    <w:p>
      <w:pPr>
        <w:jc w:val="left"/>
      </w:pPr>
      <w:r>
        <w:t>TabellenReview Wittfeldt Federkamp PartG</w:t>
      </w:r>
    </w:p>
    <w:p>
      <w:pPr>
        <w:jc w:val="left"/>
      </w:pPr>
      <w:r>
        <w:t>Taubenstr. 12, 10117 Berlin</w:t>
      </w:r>
    </w:p>
    <w:p>
      <w:pPr>
        <w:jc w:val="left"/>
      </w:pPr>
      <w:r>
        <w:t>Partnerschaftsregister PR 741 B</w:t>
      </w:r>
    </w:p>
    <w:p>
      <w:pPr>
        <w:jc w:val="left"/>
      </w:pPr>
      <w:r>
        <w:t>Federführung: Dr. Henrike Wittfeldt-Steinheim (WPin, RAin)</w:t>
      </w:r>
    </w:p>
    <w:p>
      <w:pPr>
        <w:jc w:val="left"/>
      </w:pPr>
      <w:r>
        <w:t>Mitarbeit: Karsten Federkamp (Dipl.-Wirtschaftsmathematiker)</w:t>
      </w:r>
    </w:p>
    <w:p/>
    <w:p>
      <w:pPr>
        <w:pStyle w:val="Heading2"/>
      </w:pPr>
      <w:r>
        <w:rPr>
          <w:rFonts w:ascii="Times New Roman" w:hAnsi="Times New Roman"/>
        </w:rPr>
        <w:t>Auftragshintergrund</w:t>
      </w:r>
    </w:p>
    <w:p>
      <w:pPr>
        <w:jc w:val="left"/>
      </w:pPr>
      <w:r>
        <w:t>Paragrafix GmbH befindet sich seit Q3 2025 in einer schwerwiegenden Liquiditätskrise, die auf den Einbruch des SaaS-Neugeschäfts (–38 % ggü. Plan), gestiegene Personalkosten sowie auslaufende Kontokorrentkreditlinie (Mittelstandsbank Nordwest eG, Limit 2,5 Mio. EUR, ausgeschöpft per 15. Dezember 2025) zurückzuführen ist.</w:t>
      </w:r>
    </w:p>
    <w:p>
      <w:pPr>
        <w:jc w:val="left"/>
      </w:pPr>
      <w:r>
        <w:t>Das Modell v23 wurde von CFO Pellbach-Roosendaal unter erheblichem Zeitdruck erstellt und weist nach Einschätzung des Wirtschaftsprüfers Birkholz &amp; Partner mbH (Jahresabschlussprüfer) methodische Schwächen auf. Birkholz &amp; Partner hat mit Schreiben vom 06. Januar 2026 die vorläufige Versagung des Bestätigungsvermerks für den Jahresabschluss 2025 angekündigt und ein unabhängiges Modellreview als Mindestvoraussetzung für eine Weiterführung des Prüfungsauftrags benannt.</w:t>
      </w:r>
    </w:p>
    <w:p>
      <w:pPr>
        <w:jc w:val="left"/>
      </w:pPr>
      <w:r>
        <w:t>Die Mittelstandsbank Nordwest eG hat mit Schreiben vom 07. Januar 2026 die Bereitstellung eines Sanierungs- und Überbrückungskredits von 4,5 Mio. EUR von einer belastbaren, durch unabhängige Dritte geprüften Fortbestehensprognose abhängig gemacht.</w:t>
      </w:r>
    </w:p>
    <w:p/>
    <w:p>
      <w:pPr>
        <w:pStyle w:val="Heading2"/>
      </w:pPr>
      <w:r>
        <w:rPr>
          <w:rFonts w:ascii="Times New Roman" w:hAnsi="Times New Roman"/>
        </w:rPr>
        <w:t>Auftragsinhalte</w:t>
      </w:r>
    </w:p>
    <w:p>
      <w:pPr>
        <w:jc w:val="left"/>
      </w:pPr>
      <w:r>
        <w:t>Der Reviewauftrag umfasst:</w:t>
      </w:r>
    </w:p>
    <w:p>
      <w:pPr>
        <w:pStyle w:val="ListNumber"/>
      </w:pPr>
      <w:r>
        <w:rPr>
          <w:b/>
        </w:rPr>
        <w:t>Konsistenzprüfung</w:t>
      </w:r>
      <w:r>
        <w:t xml:space="preserve"> — Querbezüge zwischen allen 18 Arbeitsblättern; Prüfung auf nicht aufgelöste Bezugsfehler und Blattbrüche.</w:t>
      </w:r>
    </w:p>
    <w:p>
      <w:pPr>
        <w:pStyle w:val="ListNumber"/>
      </w:pPr>
      <w:r>
        <w:rPr>
          <w:b/>
        </w:rPr>
        <w:t>Plausibilitätsprüfung</w:t>
      </w:r>
      <w:r>
        <w:t xml:space="preserve"> — Abgleich aller wesentlichen Parameter (Umsatzplan, Kostenstruktur, Zinsannahmen, Liquiditätspositionen) mit Branchenbenchmarks und Vorjahreswerten.</w:t>
      </w:r>
    </w:p>
    <w:p>
      <w:pPr>
        <w:pStyle w:val="ListNumber"/>
      </w:pPr>
      <w:r>
        <w:rPr>
          <w:b/>
        </w:rPr>
        <w:t>Formelarchitektur</w:t>
      </w:r>
      <w:r>
        <w:t xml:space="preserve"> — Identifikation von Zirkularbezügen, Hardcoded-Werten in Rechenbereichen und Strukturdefiziten.</w:t>
      </w:r>
    </w:p>
    <w:p>
      <w:pPr>
        <w:pStyle w:val="ListNumber"/>
      </w:pPr>
      <w:r>
        <w:rPr>
          <w:b/>
        </w:rPr>
        <w:t>Versionsabgleich</w:t>
      </w:r>
      <w:r>
        <w:t xml:space="preserve"> — Systematischer Vergleich v22 (letzte vom WP akzeptierte Version) mit v23 (aktuelle Vorlage).</w:t>
      </w:r>
    </w:p>
    <w:p>
      <w:pPr>
        <w:pStyle w:val="ListNumber"/>
      </w:pPr>
      <w:r>
        <w:rPr>
          <w:b/>
        </w:rPr>
        <w:t>IDW-S-11-Konformität</w:t>
      </w:r>
      <w:r>
        <w:t xml:space="preserve"> — Prüfung gegen Mindestanforderungen des IDW S 11 (Stand: Fassung 2021) für Fortbestehensprognosen.</w:t>
      </w:r>
    </w:p>
    <w:p>
      <w:pPr>
        <w:pStyle w:val="ListNumber"/>
      </w:pPr>
      <w:r>
        <w:rPr>
          <w:b/>
        </w:rPr>
        <w:t>Audit-Trail</w:t>
      </w:r>
      <w:r>
        <w:t xml:space="preserve"> — Nachvollziehbarkeit aller Modellannahmen, Quellennachweise, Änderungshistorie.</w:t>
      </w:r>
    </w:p>
    <w:p>
      <w:pPr>
        <w:jc w:val="left"/>
      </w:pPr>
      <w:r>
        <w:t>Nicht Gegenstand: inhaltliche Neuerstellung der Fortbestehensprognose, Jahresabschlussprüfung, Sanierungsgutachten.</w:t>
      </w:r>
    </w:p>
    <w:p/>
    <w:p>
      <w:pPr>
        <w:pStyle w:val="Heading2"/>
      </w:pPr>
      <w:r>
        <w:rPr>
          <w:rFonts w:ascii="Times New Roman" w:hAnsi="Times New Roman"/>
        </w:rPr>
        <w:t>Unabhängigkeitsbestätigung</w:t>
      </w:r>
    </w:p>
    <w:p>
      <w:pPr>
        <w:jc w:val="left"/>
      </w:pPr>
      <w:r>
        <w:t>TabellenReview Wittfeldt Federkamp PartG bestätigt:</w:t>
      </w:r>
    </w:p>
    <w:p>
      <w:pPr>
        <w:pStyle w:val="ListBullet"/>
      </w:pPr>
      <w:r>
        <w:t>Keine Mandatsbeziehung zur Paragrafix GmbH in den letzten 36 Monaten.</w:t>
      </w:r>
    </w:p>
    <w:p>
      <w:pPr>
        <w:pStyle w:val="ListBullet"/>
      </w:pPr>
      <w:r>
        <w:t>Keine wirtschaftlichen Beteiligungen oder Abhängigkeiten.</w:t>
      </w:r>
    </w:p>
    <w:p>
      <w:pPr>
        <w:pStyle w:val="ListBullet"/>
      </w:pPr>
      <w:r>
        <w:t>Keine personellen Verflechtungen mit Birkholz &amp; Partner mbH.</w:t>
      </w:r>
    </w:p>
    <w:p>
      <w:pPr>
        <w:pStyle w:val="ListBullet"/>
      </w:pPr>
      <w:r>
        <w:t>Einhaltung der Berufspflichten nach WPO §§ 43, 49.</w:t>
      </w:r>
    </w:p>
    <w:p/>
    <w:p>
      <w:pPr>
        <w:pStyle w:val="Heading2"/>
      </w:pPr>
      <w:r>
        <w:rPr>
          <w:rFonts w:ascii="Times New Roman" w:hAnsi="Times New Roman"/>
        </w:rPr>
        <w:t>Zeitplan und Honorar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Auftragsannahme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Modellzugang / Datenbereitstellung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Zwischenbefund mündlich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Review-Workshop mit Paragrafix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Reviewbericht (Entwurf)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Reviewbericht (final)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26.01.2026</w:t>
            </w:r>
          </w:p>
        </w:tc>
      </w:tr>
    </w:tbl>
    <w:p>
      <w:pPr>
        <w:jc w:val="left"/>
      </w:pPr>
      <w:r>
        <w:t>Honorar: pauschal 28.500 EUR zzgl. MwSt., zahlbar nach Vorlage Endbericht. Vorschuss 40 % bei Auftragsannahme.</w:t>
      </w:r>
    </w:p>
    <w:p>
      <w:pPr>
        <w:jc w:val="left"/>
      </w:pPr>
      <w:r>
        <w:rPr>
          <w:b/>
        </w:rPr>
        <w:t>Quellen:</w:t>
      </w:r>
      <w:r>
        <w:t xml:space="preserve"> WPO §§ 43, 49; IDW S 11 Fortbestehensprognose (Fassung 2021), abrufbar unter https://www.idw.de; HGB § 264 Abs. 2, abrufbar unter https://dejure.org/gesetze/HGB/264.html.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Mandatsübernahme 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Mandatsübernahme 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Aktenzeichen Reviewer: TR-QK-2026-PFX-0712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