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Modellbeschreibung: Fortbestehensprognose Paragrafix GmbH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Datum:</w:t>
      </w:r>
      <w:r>
        <w:t xml:space="preserve"> 09. Januar 2026</w:t>
      </w:r>
    </w:p>
    <w:p>
      <w:pPr>
        <w:jc w:val="left"/>
      </w:pPr>
      <w:r>
        <w:rPr>
          <w:b/>
        </w:rPr>
        <w:t>Modellversion:</w:t>
      </w:r>
      <w:r>
        <w:t xml:space="preserve"> v23 (05.01.2026), vorgelegt von CFO Pellbach-Roosendaal</w:t>
      </w:r>
    </w:p>
    <w:p/>
    <w:p>
      <w:pPr>
        <w:pStyle w:val="Heading2"/>
      </w:pPr>
      <w:r>
        <w:rPr>
          <w:rFonts w:ascii="Times New Roman" w:hAnsi="Times New Roman"/>
        </w:rPr>
        <w:t>Zweck des Modells</w:t>
      </w:r>
    </w:p>
    <w:p>
      <w:pPr>
        <w:jc w:val="left"/>
      </w:pPr>
      <w:r>
        <w:t>Das Modell soll die Fortbestehensfähigkeit der Paragrafix GmbH im Sinne des § 252 Abs. 1 Nr. 2 HGB (Grundsatz der Unternehmensfortführung, Going-Concern-Prämisse) für einen Prognosezeitraum von 24 Monaten (01.01.2026 bis 31.12.2027) nachweisen. Zugleich dient es als Grundlage für:</w:t>
      </w:r>
    </w:p>
    <w:p>
      <w:pPr>
        <w:pStyle w:val="ListBullet"/>
      </w:pPr>
      <w:r>
        <w:t>Bestätigungsvermerk des Jahresabschlussprüfers Birkholz &amp; Partner mbH (HGB § 322).</w:t>
      </w:r>
    </w:p>
    <w:p>
      <w:pPr>
        <w:pStyle w:val="ListBullet"/>
      </w:pPr>
      <w:r>
        <w:t>Kreditanfrage Mittelstandsbank Nordwest eG (4,5 Mio. EUR Sanierungskredit).</w:t>
      </w:r>
    </w:p>
    <w:p>
      <w:pPr>
        <w:pStyle w:val="ListBullet"/>
      </w:pPr>
      <w:r>
        <w:t>Interne Entscheidung der Geschäftsführung über Insolvenzantragspflicht nach § 15a InsO.</w:t>
      </w:r>
    </w:p>
    <w:p/>
    <w:p>
      <w:pPr>
        <w:pStyle w:val="Heading2"/>
      </w:pPr>
      <w:r>
        <w:rPr>
          <w:rFonts w:ascii="Times New Roman" w:hAnsi="Times New Roman"/>
        </w:rPr>
        <w:t>Prognosekonzept und IDW-S-11-Rahmen</w:t>
      </w:r>
    </w:p>
    <w:p>
      <w:pPr>
        <w:jc w:val="left"/>
      </w:pPr>
      <w:r>
        <w:t>Das Modell orientiert sich — nach Aussage der CFO — an den Anforderungen des IDW S 11 (Beurteilung des Vorliegens von Insolvenzeröffnungsgründen, Fassung 2021). IDW S 11 verlangt für eine rechtssichere Fortbestehensprognose:</w:t>
      </w:r>
    </w:p>
    <w:p>
      <w:pPr>
        <w:pStyle w:val="ListBullet"/>
      </w:pPr>
      <w:r>
        <w:t>Zweistufige Prüfung: (1) Ertragsplanung (Gewinn- und Verlustrechnung 24 Monate), (2) Liquiditätsplanung (monatlich, 24 Monate).</w:t>
      </w:r>
    </w:p>
    <w:p>
      <w:pPr>
        <w:pStyle w:val="ListBullet"/>
      </w:pPr>
      <w:r>
        <w:t>Klare Trennung von Basisannahmen (dokumentiert, quellenbelegt) und Planungsannahmen.</w:t>
      </w:r>
    </w:p>
    <w:p>
      <w:pPr>
        <w:pStyle w:val="ListBullet"/>
      </w:pPr>
      <w:r>
        <w:t>Szenariobetrachtung: Basisszenario plus mindestens ein adverses Szenario (Stress/Downside).</w:t>
      </w:r>
    </w:p>
    <w:p>
      <w:pPr>
        <w:pStyle w:val="ListBullet"/>
      </w:pPr>
      <w:r>
        <w:t>Transparenz der Sanierungsmaßnahmen und Umsetzungswahrscheinlichkeit.</w:t>
      </w:r>
    </w:p>
    <w:p>
      <w:pPr>
        <w:jc w:val="left"/>
      </w:pPr>
      <w:r>
        <w:rPr>
          <w:b/>
        </w:rPr>
        <w:t>Kritisch:</w:t>
      </w:r>
      <w:r>
        <w:t xml:space="preserve"> Im Rahmen des Reviews wurde festgestellt, dass das Modell v23 weder ein adverses Szenario enthält (Finding 8) noch alle Parameterquellen ausweist (Finding 7).</w:t>
      </w:r>
    </w:p>
    <w:p/>
    <w:p>
      <w:pPr>
        <w:pStyle w:val="Heading2"/>
      </w:pPr>
      <w:r>
        <w:rPr>
          <w:rFonts w:ascii="Times New Roman" w:hAnsi="Times New Roman"/>
        </w:rPr>
        <w:t>Parametrisierung (Basisdaten v23)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v23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Planumsatz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8.240 TEUR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–12 % ggü. Istumsatz 2025 (bereinigt)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Planumsatz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9.650 TEUR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+17 % Recovery-Annahme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EBITDA-Marge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6,8 %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Vorjahr IST: –2,1 %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Plankosten Personalaufwand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4.920 TEUR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Stellenabbau 8 FTE unterstellt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Plankosten Sachaufwand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1.840 TEUR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–15 % Einsparpaket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Liquiditätsmindestbestand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350 TEUR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Internes Mindestziel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Zinssatz Kontokorrent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4,9 %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Finding 4: v22 waren 6,2 % unterstellt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Zinssatz Sanierungskredit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5,75 %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Annahme CFO; keine Bankbestätigung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Prognoseende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31.12.2027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 Monate ab Bilanzstichtag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Ergebnis Modell v23 (vor Review-Korrektur)</w:t>
      </w:r>
    </w:p>
    <w:p>
      <w:pPr>
        <w:jc w:val="left"/>
      </w:pPr>
      <w:r>
        <w:t>Das Modell v23 weist gemäß CFO-Darstellung für den Prognosezeitraum aus:</w:t>
      </w:r>
    </w:p>
    <w:p>
      <w:pPr>
        <w:pStyle w:val="ListBullet"/>
      </w:pPr>
      <w:r>
        <w:t>Liquiditätsüberschuss 31.12.2027: +418 TEUR (kumuliert)</w:t>
      </w:r>
    </w:p>
    <w:p>
      <w:pPr>
        <w:pStyle w:val="ListBullet"/>
      </w:pPr>
      <w:r>
        <w:t>EBITDA kumuliert 2026–2027: +987 TEUR</w:t>
      </w:r>
    </w:p>
    <w:p>
      <w:pPr>
        <w:pStyle w:val="ListBullet"/>
      </w:pPr>
      <w:r>
        <w:t xml:space="preserve">Fortbestehensindikator nach Modell v23: </w:t>
      </w:r>
      <w:r>
        <w:rPr>
          <w:b/>
        </w:rPr>
        <w:t>positiv</w:t>
      </w:r>
    </w:p>
    <w:p>
      <w:pPr>
        <w:jc w:val="left"/>
      </w:pPr>
      <w:r>
        <w:t>Nach Reviewfeststellungen (insbesondere Korrektur zirkulärer Bezug, Finding 1; Zinsprognoseannahme, Finding 4; fehlende Rückstellungsbuchung, Finding 5) ergibt sich ein deutlich negativeres Bild. Quantifizierung der Gesamtabweichung: vgl. Findings-Register.</w:t>
      </w:r>
    </w:p>
    <w:p/>
    <w:p>
      <w:pPr>
        <w:pStyle w:val="Heading2"/>
      </w:pPr>
      <w:r>
        <w:rPr>
          <w:rFonts w:ascii="Times New Roman" w:hAnsi="Times New Roman"/>
        </w:rPr>
        <w:t>Relevante Rechtsgrundlagen</w:t>
      </w:r>
    </w:p>
    <w:p>
      <w:pPr>
        <w:pStyle w:val="ListBullet"/>
      </w:pPr>
      <w:r>
        <w:t>HGB § 252 Abs. 1 Nr. 2 (Going-Concern): https://dejure.org/gesetze/HGB/252.html</w:t>
      </w:r>
    </w:p>
    <w:p>
      <w:pPr>
        <w:pStyle w:val="ListBullet"/>
      </w:pPr>
      <w:r>
        <w:t>HGB § 264 Abs. 2 (true and fair view): https://dejure.org/gesetze/HGB/264.html</w:t>
      </w:r>
    </w:p>
    <w:p>
      <w:pPr>
        <w:pStyle w:val="ListBullet"/>
      </w:pPr>
      <w:r>
        <w:t>IDW S 11 Fortbestehensprognose: https://www.idw.de</w:t>
      </w:r>
    </w:p>
    <w:p>
      <w:pPr>
        <w:pStyle w:val="ListBullet"/>
      </w:pPr>
      <w:r>
        <w:t>InsO § 19 (Überschuldung): https://dejure.org/gesetze/InsO/19.html</w:t>
      </w:r>
    </w:p>
    <w:p>
      <w:pPr>
        <w:pStyle w:val="ListBullet"/>
      </w:pPr>
      <w:r>
        <w:t>InsO § 17 (Zahlungsunfähigkeit): https://dejure.org/gesetze/InsO/17.html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Fortbestehensprognose 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Fortbestehensprognose Paragrafix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 · Aktenzeichen: TR-QK-2026-PFX-0712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