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20 — Stellungnahme an die Geschäftsführung Paragrafix GmbH</w:t>
      </w:r>
    </w:p>
    <w:p>
      <w:pPr>
        <w:jc w:val="left"/>
      </w:pPr>
      <w:r>
        <w:rPr>
          <w:b/>
        </w:rPr>
        <w:t>Aktenzeichen:</w:t>
      </w:r>
      <w:r>
        <w:t xml:space="preserve"> TR-QK-2026-PFX-0712</w:t>
      </w:r>
    </w:p>
    <w:p>
      <w:pPr>
        <w:jc w:val="left"/>
      </w:pPr>
      <w:r>
        <w:rPr>
          <w:b/>
        </w:rPr>
        <w:t>Datum:</w:t>
      </w:r>
      <w:r>
        <w:t xml:space="preserve"> 15. Januar 2026</w:t>
      </w:r>
    </w:p>
    <w:p>
      <w:pPr>
        <w:jc w:val="left"/>
      </w:pPr>
      <w:r>
        <w:rPr>
          <w:b/>
        </w:rPr>
        <w:t>Absender:</w:t>
      </w:r>
      <w:r>
        <w:t xml:space="preserve"> Dr. Henrike Wittfeldt-Steinheim, TabellenReview Wittfeldt Federkamp PartG</w:t>
      </w:r>
    </w:p>
    <w:p>
      <w:pPr>
        <w:jc w:val="left"/>
      </w:pPr>
      <w:r>
        <w:rPr>
          <w:b/>
        </w:rPr>
        <w:t>Empfänger:</w:t>
      </w:r>
      <w:r>
        <w:t xml:space="preserve"> Dr. Cornelius Vellbruck-Steinheim (GF), Annegret Pellbach-Roosendaal (CFO)</w:t>
      </w:r>
    </w:p>
    <w:p/>
    <w:p>
      <w:pPr>
        <w:jc w:val="left"/>
      </w:pPr>
      <w:r>
        <w:t>Sehr geehrter Herr Dr. Vellbruck-Steinheim,</w:t>
      </w:r>
    </w:p>
    <w:p>
      <w:pPr>
        <w:jc w:val="left"/>
      </w:pPr>
      <w:r>
        <w:t>sehr geehrte Frau Pellbach-Roosendaal,</w:t>
      </w:r>
    </w:p>
    <w:p>
      <w:pPr>
        <w:jc w:val="left"/>
      </w:pPr>
      <w:r>
        <w:t>wir übermitteln Ihnen mit diesem Schreiben die wesentlichen Ergebnisse unseres Tabellenreviews des Fortbestehensprognose-Modells v23.</w:t>
      </w:r>
    </w:p>
    <w:p/>
    <w:p>
      <w:pPr>
        <w:pStyle w:val="Heading2"/>
      </w:pPr>
      <w:r>
        <w:rPr>
          <w:rFonts w:ascii="Times New Roman" w:hAnsi="Times New Roman"/>
        </w:rPr>
        <w:t>I. Zusammenfassung Reviewergebnis</w:t>
      </w:r>
    </w:p>
    <w:p>
      <w:pPr>
        <w:jc w:val="left"/>
      </w:pPr>
      <w:r>
        <w:t>Das Modell v23 (</w:t>
      </w:r>
      <w:r>
        <w:t>PFX-FoBP-Modell-v23-final.xlsx</w:t>
      </w:r>
      <w:r>
        <w:t xml:space="preserve">) weist </w:t>
      </w:r>
      <w:r>
        <w:rPr>
          <w:b/>
        </w:rPr>
        <w:t>10 Findings</w:t>
      </w:r>
      <w:r>
        <w:t xml:space="preserve"> auf, davon 3 mit Schweregrad "Kritisch", 4 mit "Hoch" und 3 mit "Mittel". Die Findings betreffen:</w:t>
      </w:r>
    </w:p>
    <w:p>
      <w:pPr>
        <w:pStyle w:val="ListBullet"/>
      </w:pPr>
      <w:r>
        <w:t>Strukturelle Modellfehler (zirkulärer Bezug, fehlerhafte Summenformeln).</w:t>
      </w:r>
    </w:p>
    <w:p>
      <w:pPr>
        <w:pStyle w:val="ListBullet"/>
      </w:pPr>
      <w:r>
        <w:t>Nicht belegte oder nicht marktgerechte Annahmen (Zinssatz, Umsatzprognose).</w:t>
      </w:r>
    </w:p>
    <w:p>
      <w:pPr>
        <w:pStyle w:val="ListBullet"/>
      </w:pPr>
      <w:r>
        <w:t>Dokumentationsdefizite (fehlende Quellenangaben, nicht dokumentierte Änderungen).</w:t>
      </w:r>
    </w:p>
    <w:p>
      <w:pPr>
        <w:pStyle w:val="ListBullet"/>
      </w:pPr>
      <w:r>
        <w:t>Fehlende Elemente (Stressszenario, Sanierungsmaßnahmenplan).</w:t>
      </w:r>
    </w:p>
    <w:p>
      <w:pPr>
        <w:pStyle w:val="ListBullet"/>
      </w:pPr>
      <w:r>
        <w:t>Integritätsrisiken (VBA-Makro, versteckte Sheets).</w:t>
      </w:r>
    </w:p>
    <w:p>
      <w:pPr>
        <w:jc w:val="left"/>
      </w:pPr>
      <w:r>
        <w:rPr>
          <w:b/>
        </w:rPr>
        <w:t>In der Gesamtschau ist das Modell v23 in seiner aktuellen Form als Grundlage für eine IDW-S-11-konforme Fortbestehensprognose nicht geeignet.</w:t>
      </w:r>
    </w:p>
    <w:p/>
    <w:p>
      <w:pPr>
        <w:pStyle w:val="Heading2"/>
      </w:pPr>
      <w:r>
        <w:rPr>
          <w:rFonts w:ascii="Times New Roman" w:hAnsi="Times New Roman"/>
        </w:rPr>
        <w:t>II. Besondere Hinweise</w:t>
      </w:r>
    </w:p>
    <w:p>
      <w:pPr>
        <w:pStyle w:val="Heading3"/>
      </w:pPr>
      <w:r>
        <w:rPr>
          <w:rFonts w:ascii="Times New Roman" w:hAnsi="Times New Roman"/>
        </w:rPr>
        <w:t>Manipulationsverdacht (Finding 4 + 9)</w:t>
      </w:r>
    </w:p>
    <w:p>
      <w:pPr>
        <w:jc w:val="left"/>
      </w:pPr>
      <w:r>
        <w:t>Der Reviewer sieht sich verpflichtet, Sie auf Folgendes hinzuweisen: Die nicht dokumentierte Absenkung des Zinssatzes von 6,2 % auf 4,9 % (Finding 4) in Kombination mit einem VBA-Makro, das Planwerte bei Dateiöffnung überschreibt (Finding 9), begründet einen hinreichenden Anfangsverdacht auf Ergebnismanipulation. Wir empfehlen dringend die sofortige Einschaltung eines auf Wirtschaftsstrafrecht spezialisierten Rechtsanwalts.</w:t>
      </w:r>
    </w:p>
    <w:p>
      <w:pPr>
        <w:pStyle w:val="Heading3"/>
      </w:pPr>
      <w:r>
        <w:rPr>
          <w:rFonts w:ascii="Times New Roman" w:hAnsi="Times New Roman"/>
        </w:rPr>
        <w:t>Insolvenzantragspflicht (§ 15a InsO)</w:t>
      </w:r>
    </w:p>
    <w:p>
      <w:pPr>
        <w:jc w:val="left"/>
      </w:pPr>
      <w:r>
        <w:t>Nach Korrektur der identifizierten Findings könnte das korrigierte Modell ein negatives Liquiditätsergebnis ausweisen. In diesem Fall würde die Frage der Insolvenzantragspflicht nach § 15a InsO neu zu beurteilen sein. Wir bitten Sie, unverzüglich insolvenzrechtliche Beratung in Anspruch zu nehmen.</w:t>
      </w:r>
    </w:p>
    <w:p/>
    <w:p>
      <w:pPr>
        <w:pStyle w:val="Heading2"/>
      </w:pPr>
      <w:r>
        <w:rPr>
          <w:rFonts w:ascii="Times New Roman" w:hAnsi="Times New Roman"/>
        </w:rPr>
        <w:t>III. Nächste Schritte</w:t>
      </w:r>
    </w:p>
    <w:p>
      <w:pPr>
        <w:pStyle w:val="ListNumber"/>
      </w:pPr>
      <w:r>
        <w:t>Abarbeitung der Findings gemäß Fix-Roadmap (Aktenstück 18) bis 26.01.2026.</w:t>
      </w:r>
    </w:p>
    <w:p>
      <w:pPr>
        <w:pStyle w:val="ListNumber"/>
      </w:pPr>
      <w:r>
        <w:t>Neuvorlage des korrigierten Modells (v24) an den Reviewer.</w:t>
      </w:r>
    </w:p>
    <w:p>
      <w:pPr>
        <w:pStyle w:val="ListNumber"/>
      </w:pPr>
      <w:r>
        <w:t>Abstimmung mit Wirtschaftsprüfer Birkholz &amp; Partner über Prüfungsplan.</w:t>
      </w:r>
    </w:p>
    <w:p>
      <w:pPr>
        <w:pStyle w:val="ListNumber"/>
      </w:pPr>
      <w:r>
        <w:t>Einholung insolvenzrechtlicher und ggf. strafrechtlicher Beratung.</w:t>
      </w:r>
    </w:p>
    <w:p>
      <w:pPr>
        <w:jc w:val="left"/>
      </w:pPr>
      <w:r>
        <w:t>Mit freundlichen Grüßen</w:t>
      </w:r>
    </w:p>
    <w:p>
      <w:pPr>
        <w:jc w:val="left"/>
      </w:pPr>
      <w:r>
        <w:rPr>
          <w:b/>
        </w:rPr>
        <w:t>Dr. Henrike Wittfeldt-Steinheim</w:t>
      </w:r>
    </w:p>
    <w:p>
      <w:pPr>
        <w:jc w:val="left"/>
      </w:pPr>
      <w:r>
        <w:t>Wirtschaftsprüferin, Rechtsanwältin</w:t>
      </w:r>
    </w:p>
    <w:p>
      <w:pPr>
        <w:jc w:val="left"/>
      </w:pPr>
      <w:r>
        <w:t>TabellenReview Wittfeldt Federkamp PartG, Berlin</w:t>
      </w:r>
    </w:p>
    <w:p>
      <w:pPr>
        <w:jc w:val="left"/>
      </w:pPr>
      <w:r>
        <w:rPr>
          <w:b/>
        </w:rPr>
        <w:t>Quellen:</w:t>
      </w:r>
      <w:r>
        <w:t xml:space="preserve"> InsO § 15a: https://dejure.org/gesetze/InsO/15a.html; StGB § 283b: https://dejure.org/gesetze/StGB/283b.html; IDW S 11: https://www.idw.de.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Geschäftsführung Paragrafix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Geschäftsführung Paragrafix GmbH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Unternehmen · Aktenzeichen: TR-QK-2026-PFX-0712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