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474D"/>
          <w:sz w:val="36"/>
          <w:szCs w:val="36"/>
        </w:rPr>
        <w:t xml:space="preserve">TABELLENREVIEW BERICHT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Paragrafix GmbH — Fortbestehensprognose-Modell v23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A7974"/>
          <w:sz w:val="20"/>
          <w:szCs w:val="20"/>
        </w:rPr>
        <w:t xml:space="preserve">AZ: TR-WF-2026-PFX-0712 | Datum: 26. Januar 2026</w:t>
      </w:r>
    </w:p>
    <w:p>
      <w:pPr>
        <w:pStyle w:val="Heading1"/>
        <w:spacing w:after="150" w:before="300"/>
      </w:pPr>
      <w:r>
        <w:t xml:space="preserve">1. Auftrag und Gegenstand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TabellenReview Wittfeldt Federkamp PartG wurde am 08. Januar 2026 von der Paragrafix GmbH (Berlin) mit einem unabhaengigen Tabellenreview des Excel-Modells zur Fortbestehensprognose beauftragt. Das Modell v23 (PFX-FoBP-Modell-v23-final.xlsx) wurde am 09. Januar 2026 uebermittelt. Federführung: Dr. Henrike Wittfeldt-Steinheim (WPin, RAin), Mitarbeit: Karsten Federkamp (Dipl.-Wirtschaftsmathematiker).</w:t>
      </w:r>
    </w:p>
    <w:p>
      <w:pPr>
        <w:pStyle w:val="Heading1"/>
        <w:spacing w:after="150" w:before="300"/>
      </w:pPr>
      <w:r>
        <w:t xml:space="preserve">2. Zusammenfassung der Reviewergebnisse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Das Review hat 10 Findings identifiziert, davon 3 kritische, 4 hohe und 3 mittlere Schweregrade. Das Modell v23 ist in seiner vorgelegten Form nicht geeignet als Grundlage fuer eine IDW-S-11-konforme Fortbestehensprognose.</w:t>
      </w:r>
    </w:p>
    <w:p>
      <w:pPr>
        <w:pStyle w:val="Heading2"/>
        <w:spacing w:after="100" w:before="200"/>
      </w:pPr>
      <w:r>
        <w:t xml:space="preserve">2.1 Kritische Findings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F-01: Zirkulaerer Bezug zwischen PLAN-CF!E14 und ZINS-SCHULDEN!D9. Modell haengt von Iterationsrechnung ab; bei Standardeinstellungen Fehlerwert. Auswirkung: Zinsaufwand um ca. 186 TEUR zu niedrig.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F-04: Zinssatz Kontokorrent manuell von 6,2% (v22) auf 4,9% (v23) reduziert durch Hardcoding in ZS!C5. Formelbezug zu PARAM geloest. Keine Dokumentation im Changelog. Auswirkung: Zinslast um 186 TEUR zu niedrig. Manipulationsverdacht.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F-08: Kein adverses Stressszenario (IDW S 11 Tz. 43-47). Nur Basisszenario vorhanden. Bei simuliertem Stressszenario: Liquiditaetsergebnis 2027 ca. -1.240 TEUR.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F-10: IDW-S-11-Konformitaet: 7 von 10 Pruefkriterien nicht oder nur teilweise erfuellt.</w:t>
      </w:r>
    </w:p>
    <w:p>
      <w:pPr>
        <w:pStyle w:val="Heading2"/>
        <w:spacing w:after="100" w:before="200"/>
      </w:pPr>
      <w:r>
        <w:t xml:space="preserve">2.2 Hohe Findings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F-02: 47 Hardcoded-Werte in Rechenplaettern. Gesamtauswirkung ca. +329 TEUR zu optimistisch. F-03: Falsche SUM-Formel Bilanzsumme; Bilanz unausgeglichen -127 TEUR. F-05: Doppelte Pensionsrueckstellungsbuchung. F-06: Versteckte Sheets mit aktiven Bezuegen. F-09: VBA-Makro ueberschreibt Planwerte bei Dateioefffnen.</w:t>
      </w:r>
    </w:p>
    <w:p>
      <w:pPr>
        <w:pStyle w:val="Heading1"/>
        <w:spacing w:after="150" w:before="300"/>
      </w:pPr>
      <w:r>
        <w:t xml:space="preserve">3. Versionsvergleich v22/v23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Der Versionsvergleich zeigt, dass v23 gegenueber v22 ein um 341 TEUR besseres Liquiditaetsergebnis ausweist. Dieser Unterschied basiert auf methodisch nicht belastbaren Aenderungen (Zinssatzsenkung, DSO-Hardcode, Wachstumsrate-Hardcode, undokumentiert). Der Reviewer sieht hinreichenden Anfangsverdacht auf bewusste Ergebnismanipulation.</w:t>
      </w:r>
    </w:p>
    <w:p>
      <w:pPr>
        <w:pStyle w:val="Heading1"/>
        <w:spacing w:after="150" w:before="300"/>
      </w:pPr>
      <w:r>
        <w:t xml:space="preserve">4. Rechtliche Einordnung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HGB § 252 Abs. 1 Nr. 2 (Going-Concern): Das Modell kann in der vorliegenden Form nicht zur Begruendung der Going-Concern-Praemisse verwendet werden. InsO § 15a: GF-Haftung bei verspaeteter Insolvenzantragstellung. StGB § 283b: Strafrechtliches Risiko Bilanzfaelschung. Empfehlung: Sofortige Einschaltung Strafrechtsexperte.</w:t>
      </w:r>
    </w:p>
    <w:p>
      <w:pPr>
        <w:pStyle w:val="Heading1"/>
        <w:spacing w:after="150" w:before="300"/>
      </w:pPr>
      <w:r>
        <w:t xml:space="preserve">5. Ergebnis und Empfehlung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Das korrigierte Modell v24 (25.01.2026) hat die wesentlichen Findings behoben. Der Liquiditaetspuffer im Stressszenario betraegt +47 TEUR und ist kritisch eng. Empfehlung: Vorlage v24 bei WP Birkholz &amp; Partner; Beauftragung IDW-S-6-Sanierungsgutachten; insolvenzrechtliche Parallelberatung.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Quellen: IDW S 11 (https://www.idw.de); HGB §§ 252, 264 (https://dejure.org/gesetze/HGB/252.html); InsO § 15a (https://dejure.org/gesetze/InsO/15a.html); StGB § 283b (https://dejure.org/gesetze/StGB/283b.html).</w:t>
      </w:r>
    </w:p>
    <w:p>
      <w:pPr>
        <w:spacing w:before="4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Berlin, 26. Januar 2026 — Dr. Henrike Wittfeldt-Steinheim, WPin/RAin, TabellenReview Wittfeldt Federkamp PartG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Paragrafix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Paragrafix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2026-05-30T20:49:12.056Z</dcterms:created>
  <dcterms:modified xsi:type="dcterms:W3CDTF">2026-05-30T20:49:12.056Z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