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Umwelt-Due-Diligence — Anteilsverkauf Rheinland Spezialchemie GmbH</w:t>
      </w:r>
    </w:p>
    <w:p>
      <w:pPr>
        <w:ind w:left="567"/>
      </w:pPr>
      <w:r>
        <w:rPr>
          <w:b/>
          <w:i/>
        </w:rPr>
        <w:t>Vertraulich — Nur für interne Zwecke und authorisierte Erwerber-Vertreter</w:t>
      </w:r>
    </w:p>
    <w:p>
      <w:pPr>
        <w:ind w:left="567"/>
      </w:pPr>
      <w:r>
        <w:rPr>
          <w:i/>
        </w:rPr>
        <w:t>Erstellt von: Kanzlei Rosengart &amp; Partner / Umwelt- und Planungsrecht, im Auftrag der RS GmbH</w:t>
      </w:r>
    </w:p>
    <w:p>
      <w:pPr>
        <w:ind w:left="567"/>
      </w:pPr>
      <w:r>
        <w:rPr>
          <w:i/>
        </w:rPr>
        <w:t>Datum: 8. April 2026</w:t>
      </w:r>
    </w:p>
    <w:p>
      <w:pPr>
        <w:ind w:left="567"/>
      </w:pPr>
      <w:r>
        <w:rPr>
          <w:i/>
        </w:rPr>
        <w:t>Aktenzeichen: RP/2026-091-RSGmbH-DD</w:t>
      </w:r>
    </w:p>
    <w:p/>
    <w:p>
      <w:pPr>
        <w:pStyle w:val="Heading2"/>
      </w:pPr>
      <w:r>
        <w:rPr>
          <w:rFonts w:ascii="Times New Roman" w:hAnsi="Times New Roman"/>
        </w:rPr>
        <w:t>Teil A: Umwelt-Due-Diligence-Fragenliste (Environmental Due Diligence Questionnaire)</w:t>
      </w:r>
    </w:p>
    <w:p>
      <w:pPr>
        <w:jc w:val="left"/>
      </w:pPr>
      <w:r>
        <w:t>Die nachstehende Fragenliste richtet sich an die Rheinland Spezialchemie GmbH (Verkäuferin / Target) und ist im Rahmen des geplanten Anteilsverkaufs zu beantworten. Die Antworten werden als Grundlage für das Red-Flag-Memo (Teil B) und die Verkäufer-Garantien im SPA verwendet.</w:t>
      </w:r>
    </w:p>
    <w:p/>
    <w:p>
      <w:pPr>
        <w:pStyle w:val="Heading3"/>
      </w:pPr>
      <w:r>
        <w:rPr>
          <w:rFonts w:ascii="Times New Roman" w:hAnsi="Times New Roman"/>
        </w:rPr>
        <w:t>Abschnitt 1: Genehmigungsbestand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Welche immissionsschutzrechtlichen Genehmigungen bestehen für alle Anlagen des Targets (§ 4 ff. BImSchG)? Bitte sämtliche Genehmigungen mit Datum, Aktenzeichen, Behörde und wesentlichem Inhalt auflisten.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Errichtungs- und Betriebsgenehmigung Werk Nord vom 12.11.2007 (Az. BR-K/6-52.4/2007-044); Änderungsgenehmigung 03.09.2019 (Az. BR-K/6-52.4/2019-014); Änderungsanzeige nach § 15 BImSchG, eingereicht 14.03.2026 (Az. BR-K/6-52.4/2026-031), Bescheid ausstehend.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Liegen alle erforderlichen Nebenreinigungen (§ 6 BImSchG) vor? Bitte alle Nebenbestimmungen der Genehmigungen (insb. Messpflichten, Emissionsgrenzwerte, Betriebszeitenregelungen) zusammenfassen.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alle Nebenbestimmungen bekannt; Zusammenfassung in Anlage 1. Wesentliche Punkte: Staubbegrenzung 20 mg/Nm³ TMW H-02, Erstmessungsintervall alle 3 Jahre, zuletzt 2024.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Gibt es anhängige Verfahren auf Änderung, Widerruf oder Ruhendstellung von Genehmigungen?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Bußgeldverfahren BR-K/6-OWi-2026-0087 (Meldepflichtverletzung, s. Abschnitt 5). Kein Widerrufverfahren, keine Ruhendstellung.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seit Genehmigungserteilung wesentliche Änderungen ohne oder mit zeitlicher Verzögerung angezeigt worden?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 BImSchG-Anzeige für Linie-4-Erweiterung eingereicht 14.03.2026; alle vorherigen Änderungen fristgerecht angezeigt (Dokumentation in Anlage 2).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baurechtliche Genehmigungen für alle auf dem Grundstück errichteten Gebäude und Anlagenteile?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Überwiegend ja. Für Lagergebäude S-03 (Errichtung 2011) liegt nur eine vereinfachte Bauanzeige, kein formeller Bescheid vor — Altbefund, behördlich nicht beanstandet (vgl. Anlage 3).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2: Wasserrecht und Abwasser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Liegen alle erforderlichen wasserrechtlichen Erlaubnisse (§ 8 WHG) für Einleitungen in Gewässer vor? Bitte mit Ablaufdatum und zuständiger Behörde angeben.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Einleitungserlaubnis für Direkteinleitung Werkskanal → Rhein, erteilt 04.02.2021 durch Bezirksregierung Köln, Abt. 54 (Az. BR-K/54-32/2021-007). Befristet bis 31.12.2027. Verlängerungsantrag vorzubereiten.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Wurden Einleitungsgrenzwerte in den letzten fünf Jahren eingehalten? Bitte Eigenüberwachungsberichte für 2021–2025 vorlegen.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alle Grenzwerte eingehalten (Eigenüberwachungsberichte in Anlage 4).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Wasserrechtliche Genehmigungen für Entnahmen aus Grundwasser oder Oberflächengewässern?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Nein. Wasserversorgung über Stadtwerke Wesseling.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Grundwasserverunreinigungen bekannt oder behördlich festgestellt?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Altlastenverdacht Südhalle S-02 (ehem. Galvanik), Anzeige nach § 9 Abs. 1 BBodSchG am 25.03.2026 eingereicht. Keine behördliche Feststellung, keine GW-Verunreinigung bisher nachgewiesen (vgl. Abschnitt 3).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Ist eine Anpassung der Einleitungserlaubnis durch die Linie-4-Erweiterung erforderlich?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nach derzeitiger Einschätzung; CSB-Mehrfracht &lt; 3 % der genehmigten Fracht. Fachlicher Vermerk liegt vor.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3: Bodenschutz und Altlasten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bekannte Altlasten oder Altlastenverdachtsflächen auf dem Betriebsgelände?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Verdachtsfläche Südhalle S-02 (Galvanikbetrieb bis 1994). Anzeige an Bodenschutzbehörde 25.03.2026 (Az. RS-GmbH/BBodSchG/2026-01). Orientierende Untersuchung bis 30.09.2026 geplant.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Wurden Altlastenuntersuchungen durchgeführt? Bitte Berichte vorlegen.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systematische Untersuchung S-02 bislang. GW-Daten Messbrunnen MEP-17: Chrom n. n., Nickel 8 µg/l (unter Prüfwert 50 µg/l).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Wurden auf dem Grundstück gefährliche Stoffe gelagert oder verarbeitet, die zu Bodenkontaminationen geführt haben könnten?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Galvanikbetrieb S-02 (1968–1994): Cr VI, Ni, Zn, Cyanide, chlorierte Lösungsmittel. Laufender Betrieb: Rohstoffe für Feinchemikaliensynthese (Chlor-Aromaten); ordnungsgemäß in Sicherheitsbehältern gelagert.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behördliche Anordnungen nach BBodSchG (Sanierungsanordnungen, Sanierungsplan, -überwachung)?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Nein, keine behördlichen Anordnungen.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Geschätzte Kosten einer Altlastensanierung (falls bekannt)?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seriöse Schätzung vor Abschluss orientierender Untersuchung möglich. Externe Gutachter-Indikation für Galvanik-Fälle ähnlicher Größe: 0,3 – 2,5 Mio. EUR (Bandbreite stark abhängig von GW-Einfluss).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4: Emissionshandel (TEHG / BEHG)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Ist das Target emissionshandelspflichtig? Bitte Anlage-ID der DEHSt angeben.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DE-RS-GmbH-0047-2021, TEHG-Anlage (Dampferzeuger HKW-2, FWL 24 MW).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Wie viele Zertifikate wurden in den letzten fünf Jahren zugekauft, wie viele lagen im Überschuss vor?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Nettokauf 2021–2025: 350 t CO₂-Äq. (Gegenwert ca. 22.750 EUR); kein struktureller Überschuss (vgl. Tabelle Abschnitt A, TEHG-Notiz).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Liegt ein genehmigter und aktueller Monitoring-Plan vor?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MP Revision 3, genehmigt 15.02.2024. Revision 4 (Einbeziehung Trocknungsstufe VS-15) in Vorbereitung, Einreichung bis 30.06.2026.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alle Jahresemissionsberichte fristgerecht eingereicht und geprüft worden?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2021–2025 fristgerecht; Prüfer: Öko-Audit GmbH (Akkreditierung DE-V-0041).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Besteht ein BEHG-Pflicht (Brennstoffemissionshandel)?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Nein, da Direktanlage im EU-ETS; keine BEHG-Pflicht nach § 3 Abs. 1 BEHG.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5: Ordnungswidrigkeiten und behördliche 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oder bestanden in den letzten fünf Jahren Bußgeldverfahren, Verwarnungsverfahren oder Anzeigen von Behörden?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Az. BR-K/6-OWi-2026-0087 (Meldepflichtverletzung § 31 Abs. 3 BImSchG, verspätete Meldung Emissionsüberschreitung März 2026). Anhörungsschreiben 02.04.2026; Stellungnahme eingereicht 22.04.2026. Keine früheren Verfahren 2021–2025.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Auflagen oder Anordnungen aus Inspektionen der letzten fünf Jahre?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Regelmäßige Überwachungsbesuche der Bezirksregierung (zuletzt 14.10.2025); keine Auflagen, keine Ordnungsverfügungen.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Gibt es Nachbarklagen oder öffentliche Beschwerden?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Vier Geruchsbeschwerden aus Wohngebiet Bürgerpark Süd (Januar–März 2026); keine Klage; Stellungnahme der RS GmbH in der BImSchG-Änderungsanzeige enthalten.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6: Abfallmanagement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Werden gefährliche Abfälle erzeugt? Welche Mengen pro Jahr?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Filterstaub (EAK 06 01 02</w:t>
            </w:r>
            <w:r>
              <w:rPr>
                <w:rFonts w:ascii="Times New Roman" w:hAnsi="Times New Roman"/>
                <w:i/>
                <w:sz w:val="20"/>
              </w:rPr>
              <w:t>) ca. 220 t/a; Produktionsschlamm (unklar, Analytik in Auftrag, EAK noch offen) ca. 950 t/a; Aktivkohle (EAK 06 01 05</w:t>
            </w:r>
            <w:r>
              <w:rPr>
                <w:rFonts w:ascii="Times New Roman" w:hAnsi="Times New Roman"/>
                <w:sz w:val="20"/>
              </w:rPr>
              <w:t>) ca. 2,4 t/a.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Liegen alle erforderlichen Nachweise (eANV) vor?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Für Filterstaub: eANV vorhanden. Für Produktionsschlamm: </w:t>
            </w:r>
            <w:r>
              <w:rPr>
                <w:rFonts w:ascii="Times New Roman" w:hAnsi="Times New Roman"/>
                <w:b/>
                <w:sz w:val="20"/>
              </w:rPr>
              <w:t>Analytik fehlt, Einstufung offen (RED FLAG)</w:t>
            </w:r>
            <w:r>
              <w:rPr>
                <w:rFonts w:ascii="Times New Roman" w:hAnsi="Times New Roman"/>
                <w:sz w:val="20"/>
              </w:rPr>
              <w:t>. Verpackung: nicht gefährlich, kein eANV erforderlich.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Sind Entsorgungsverträge mit zugelassenen Entsorgern geschlossen?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Filterstaub: Entsorgung Nord GmbH (Vertrag läuft bis 31.12.2026, Verlängerung geplant). Produktionsschlamm: kein Vertrag (offen).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Rückstellungen für Entsorgungskosten in der Bilanz?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Laut Jahresabschluss 2025 Rückstellung 85.000 EUR für Sonderabfallentsorgung; nach Gutachtereinschätzung möglicherweise zu niedrig, wenn Produktionsschlamm als gefährlich eingestuft wird.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</w:rPr>
        <w:t>Abschnitt 7: Umweltmanagementsystem und CAPEX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Ist ein Umweltmanagementsystem (ISO 14001 oder EMAS) zertifiziert?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Nein. EMAS-Registrierung ist nicht erfolgt; internes Umweltprogramm wird geführt.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Welche Umwelt-CAPEX-Maßnahmen sind in den nächsten drei Jahren geplant?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Trocknungsstufe Linie 4: geplante Investition ca. 2,1 Mio. EUR. Altlastenuntersuchung S-02: ca. 80.000 EUR (Untersuchung). Verlängerung Einleitungserlaubnis: ca. 15.000 EUR (Antragsaufwand).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7.3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Bestehen Versicherungen für Umweltschäden (Umwelthaftpflicht, Betriebsstörung)?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Ja: Police bei Zurich Insurance Group, Deckungssumme 5 Mio. EUR, Selbstbehalt 50.000 EUR; Altlasten standardmäßig ausgeschlossen.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Teil B: Red-Flag-Memo</w:t>
      </w:r>
    </w:p>
    <w:p>
      <w:pPr>
        <w:pStyle w:val="Heading3"/>
      </w:pPr>
      <w:r>
        <w:rPr>
          <w:rFonts w:ascii="Times New Roman" w:hAnsi="Times New Roman"/>
        </w:rPr>
        <w:t>Red-Flag-Memo — Umweltrechtliche Risiken beim Erwerb der Rheinland Spezialchemie GmbH</w:t>
      </w:r>
    </w:p>
    <w:p>
      <w:pPr>
        <w:ind w:left="567"/>
      </w:pPr>
      <w:r>
        <w:rPr>
          <w:i/>
        </w:rPr>
        <w:t>Erstellt: 8. April 2026 | Kanzlei Rosengart &amp; Partner | Az. RP/2026-091-RSGmbH-DD</w:t>
      </w:r>
    </w:p>
    <w:p>
      <w:pPr>
        <w:pStyle w:val="Heading3"/>
      </w:pPr>
      <w:r>
        <w:rPr>
          <w:rFonts w:ascii="Times New Roman" w:hAnsi="Times New Roman"/>
        </w:rPr>
        <w:t>RF-01: Altlastenverdacht Südhalle S-02 — HOHES RISIKO</w:t>
      </w:r>
    </w:p>
    <w:p>
      <w:pPr>
        <w:jc w:val="left"/>
      </w:pPr>
      <w:r>
        <w:rPr>
          <w:b/>
        </w:rPr>
        <w:t>Befund:</w:t>
      </w:r>
      <w:r>
        <w:t xml:space="preserve"> Altlastenverdacht aus ehem. Galvanikbetrieb (1968–1994) bekannt, Anzeige gerade erst am 25.03.2026 erstattet — d. h. erst unmittelbar im Vorfeld der Transaktion und mehr als 30 Jahre nach Betriebsende. Orientierende Untersuchung steht aus.</w:t>
      </w:r>
    </w:p>
    <w:p>
      <w:pPr>
        <w:jc w:val="left"/>
      </w:pPr>
      <w:r>
        <w:rPr>
          <w:b/>
        </w:rPr>
        <w:t>Risiko:</w:t>
      </w:r>
      <w:r>
        <w:t xml:space="preserve"> Sanierungskosten nach § 4 Abs. 3 BBodSchG können den Erwerber als Gesamtrechtsnachfolger oder als neuen Grundstückseigentümer treffen. Bandbreite Sanierungskosten nach externer Einschätzung: </w:t>
      </w:r>
      <w:r>
        <w:rPr>
          <w:b/>
        </w:rPr>
        <w:t>0,3–2,5 Mio. EUR</w:t>
      </w:r>
      <w:r>
        <w:t>, bei GW-Abstrom möglicherweise höher.</w:t>
      </w:r>
    </w:p>
    <w:p>
      <w:pPr>
        <w:jc w:val="left"/>
      </w:pPr>
      <w:r>
        <w:rPr>
          <w:b/>
        </w:rPr>
        <w:t>Empfehlung:</w:t>
      </w:r>
      <w:r>
        <w:t xml:space="preserve"> Vor Signing Orientierungsuntersuchung abschließen; ggf. Kaufpreiseinbehalt oder Treuhandlösung für Sanierungsrisiko. Altlastengarantie im SPA mit Cap und Basket strukturieren.</w:t>
      </w:r>
    </w:p>
    <w:p>
      <w:pPr>
        <w:pStyle w:val="Heading3"/>
      </w:pPr>
      <w:r>
        <w:rPr>
          <w:rFonts w:ascii="Times New Roman" w:hAnsi="Times New Roman"/>
        </w:rPr>
        <w:t>RF-02: Produktionsschlamm — Einstufung ungeklärt — MITTLERES RISIKO</w:t>
      </w:r>
    </w:p>
    <w:p>
      <w:pPr>
        <w:jc w:val="left"/>
      </w:pPr>
      <w:r>
        <w:rPr>
          <w:b/>
        </w:rPr>
        <w:t>Befund:</w:t>
      </w:r>
      <w:r>
        <w:t xml:space="preserve"> Ca. 950 t/a Produktionsschlamm werden nicht mit eANV nachgewiesen; Analytik steht aus. Bei Einstufung als gefährlicher Abfall (EAK 06 01 05</w:t>
      </w:r>
      <w:r>
        <w:rPr>
          <w:i/>
        </w:rPr>
        <w:t xml:space="preserve">) drohen: Bußgelder nach KrWG und NachwV, Entsorgungsmehrkosten von geschätzt </w:t>
      </w:r>
      <w:r>
        <w:rPr>
          <w:i/>
        </w:rPr>
        <w:t>40.000–80.000 EUR/a</w:t>
      </w:r>
      <w:r>
        <w:t>*, Nachforderungen für vergangene Jahre (3-jährige Verjährung).</w:t>
      </w:r>
    </w:p>
    <w:p>
      <w:pPr>
        <w:jc w:val="left"/>
      </w:pPr>
      <w:r>
        <w:rPr>
          <w:b/>
        </w:rPr>
        <w:t>Empfehlung:</w:t>
      </w:r>
      <w:r>
        <w:t xml:space="preserve"> Analytik und Einstufung vor Closing abschließen; Ergebnis in SPA-Garantien einbeziehen.</w:t>
      </w:r>
    </w:p>
    <w:p>
      <w:pPr>
        <w:pStyle w:val="Heading3"/>
      </w:pPr>
      <w:r>
        <w:rPr>
          <w:rFonts w:ascii="Times New Roman" w:hAnsi="Times New Roman"/>
        </w:rPr>
        <w:t>RF-03: Emissionshandelspflichtige Anlage — GERINGES RISIKO (aber ongoing)</w:t>
      </w:r>
    </w:p>
    <w:p>
      <w:pPr>
        <w:jc w:val="left"/>
      </w:pPr>
      <w:r>
        <w:rPr>
          <w:b/>
        </w:rPr>
        <w:t>Befund:</w:t>
      </w:r>
      <w:r>
        <w:t xml:space="preserve"> Strukturell leicht unterdeckte Zertifikateposition (Nettokauf 350 t CO₂-Äq. in 5 Jahren). Revision 4 des Monitoring-Plans nach Linie-4-Erweiterung noch nicht genehmigt.</w:t>
      </w:r>
    </w:p>
    <w:p>
      <w:pPr>
        <w:jc w:val="left"/>
      </w:pPr>
      <w:r>
        <w:rPr>
          <w:b/>
        </w:rPr>
        <w:t>Empfehlung:</w:t>
      </w:r>
      <w:r>
        <w:t xml:space="preserve"> Erwerber sollte EUA-Beschaffungsstrategie übernehmen; Monitoring-Plan-Genehmigung als Closing Condition oder Warranty.</w:t>
      </w:r>
    </w:p>
    <w:p>
      <w:pPr>
        <w:pStyle w:val="Heading3"/>
      </w:pPr>
      <w:r>
        <w:rPr>
          <w:rFonts w:ascii="Times New Roman" w:hAnsi="Times New Roman"/>
        </w:rPr>
        <w:t>RF-04: Bußgeldverfahren Meldepflichtverletzung — GERINGES RISIKO</w:t>
      </w:r>
    </w:p>
    <w:p>
      <w:pPr>
        <w:jc w:val="left"/>
      </w:pPr>
      <w:r>
        <w:rPr>
          <w:b/>
        </w:rPr>
        <w:t>Befund:</w:t>
      </w:r>
      <w:r>
        <w:t xml:space="preserve"> Bußgeldverfahren Az. BR-K/6-OWi-2026-0087 anhängig. Bußgeldrahmen bis 50.000 EUR. Gute Verteidigungsposition (Messgeräteausfall, kein Vorsatz, Kooperation).</w:t>
      </w:r>
    </w:p>
    <w:p>
      <w:pPr>
        <w:jc w:val="left"/>
      </w:pPr>
      <w:r>
        <w:rPr>
          <w:b/>
        </w:rPr>
        <w:t>Empfehlung:</w:t>
      </w:r>
      <w:r>
        <w:t xml:space="preserve"> Erwerber über laufendes Verfahren informieren; Freistellungsklausel für etwaige Bußgeldzahlungen im SPA zugunsten des Erwerbers verhandeln. Realistisches Erwartungs-Bußgeld ca. 5.000–15.000 EUR bei Einigung.</w:t>
      </w:r>
    </w:p>
    <w:p>
      <w:pPr>
        <w:pStyle w:val="Heading3"/>
      </w:pPr>
      <w:r>
        <w:rPr>
          <w:rFonts w:ascii="Times New Roman" w:hAnsi="Times New Roman"/>
        </w:rPr>
        <w:t>RF-05: Befristung Einleitungserlaubnis 31.12.2027 — GERINGES RISIKO (zeitkritisch)</w:t>
      </w:r>
    </w:p>
    <w:p>
      <w:pPr>
        <w:jc w:val="left"/>
      </w:pPr>
      <w:r>
        <w:rPr>
          <w:b/>
        </w:rPr>
        <w:t>Befund:</w:t>
      </w:r>
      <w:r>
        <w:t xml:space="preserve"> Wasserrechtliche Einleitungserlaubnis läuft in &lt; 2 Jahren aus. Verlängerungsantrag muss bis spätestens 30. Juni 2027 gestellt werden. Durch Linie-4-Erweiterung könnte die Behörde eine erweiterte Prüfung (auch Altlast S-02 / Einleitwirkung) vornehmen.</w:t>
      </w:r>
    </w:p>
    <w:p>
      <w:pPr>
        <w:jc w:val="left"/>
      </w:pPr>
      <w:r>
        <w:rPr>
          <w:b/>
        </w:rPr>
        <w:t>Empfehlung:</w:t>
      </w:r>
      <w:r>
        <w:t xml:space="preserve"> Verlängerungsantrag frühzeitig vorbereiten; im SPA Warranty aufnehmen, dass bis zur Verlängerung keine behördlichen Bedenken bestehen.</w:t>
      </w:r>
    </w:p>
    <w:p>
      <w:pPr>
        <w:pStyle w:val="Heading3"/>
      </w:pPr>
      <w:r>
        <w:rPr>
          <w:rFonts w:ascii="Times New Roman" w:hAnsi="Times New Roman"/>
        </w:rPr>
        <w:t>RF-06: Fehlende Baugenehmigung Lagergebäude S-03 — GERINGES RISIKO</w:t>
      </w:r>
    </w:p>
    <w:p>
      <w:pPr>
        <w:jc w:val="left"/>
      </w:pPr>
      <w:r>
        <w:rPr>
          <w:b/>
        </w:rPr>
        <w:t>Befund:</w:t>
      </w:r>
      <w:r>
        <w:t xml:space="preserve"> Nur vereinfachte Bauanzeige, kein Bescheid. Formal formales Baurechtsdefizit; behördlich bisher geduldet.</w:t>
      </w:r>
    </w:p>
    <w:p>
      <w:pPr>
        <w:jc w:val="left"/>
      </w:pPr>
      <w:r>
        <w:rPr>
          <w:b/>
        </w:rPr>
        <w:t>Empfehlung:</w:t>
      </w:r>
      <w:r>
        <w:t xml:space="preserve"> Bauordnungsrechtliche Legalisierung nach Closing beantragen (überschaubarer Aufwand). Im SPA als bekannter Befund (Disclosed Item) vermerken.</w:t>
      </w:r>
    </w:p>
    <w:p/>
    <w:p>
      <w:pPr>
        <w:pStyle w:val="Heading3"/>
      </w:pPr>
      <w:r>
        <w:rPr>
          <w:rFonts w:ascii="Times New Roman" w:hAnsi="Times New Roman"/>
        </w:rPr>
        <w:t>Zusammenfassung Risikomatrix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Höhe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Gesamtbewertung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Altlast S-02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HOCH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Abfall-Einstufung Schlamm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MITTEL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Emissionshandel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Bußgeld OWi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Hoch (Verurteilung)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Einleitungserlaubnis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RF-06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Baugenehmigung S-03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Minimal</w:t>
            </w:r>
          </w:p>
        </w:tc>
      </w:tr>
    </w:tbl>
    <w:p>
      <w:pPr>
        <w:jc w:val="left"/>
      </w:pPr>
      <w:r>
        <w:rPr>
          <w:b/>
        </w:rPr>
        <w:t>Gesamtempfehlung:</w:t>
      </w:r>
      <w:r>
        <w:t xml:space="preserve"> Der Erwerb ist unter Umweltgesichtspunkten bedingt empfehlenswert. Das wesentliche Risiko (RF-01 Altlast S-02) muss vor Signing durch eine Orientierungsuntersuchung quantifiziert werden. Alternativ ist ein Kaufpreiseinbehalt oder eine Escrow-Lösung zu strukturieren.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Anteilsverkauf Rheinland Spezialchemie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Anteilsverkauf Rheinland Spezialchemie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RP/2026-091-RSGmbH-DD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