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Vorschadenshistorie, ausführliche Zusammenstellung</w:t>
      </w:r>
    </w:p>
    <w:p>
      <w:r>
        <w:rPr>
          <w:rFonts w:ascii="Times New Roman" w:hAnsi="Times New Roman"/>
          <w:b/>
          <w:i w:val="0"/>
          <w:sz w:val="22"/>
        </w:rPr>
        <w:t>Kanzlei Lindenhof und Partner mbB</w:t>
      </w:r>
    </w:p>
    <w:p>
      <w:r>
        <w:rPr>
          <w:rFonts w:ascii="Times New Roman" w:hAnsi="Times New Roman"/>
          <w:b w:val="0"/>
          <w:i w:val="0"/>
          <w:sz w:val="22"/>
        </w:rPr>
        <w:t>Domfreihof 6, 54290 Trier</w:t>
      </w:r>
    </w:p>
    <w:p/>
    <w:p>
      <w:pPr>
        <w:pStyle w:val="Heading2"/>
      </w:pPr>
      <w:r>
        <w:t>1. Hausarztunterlagen 2016 bis 2018</w:t>
      </w:r>
    </w:p>
    <w:p>
      <w:r>
        <w:rPr>
          <w:rFonts w:ascii="Times New Roman" w:hAnsi="Times New Roman"/>
          <w:b w:val="0"/>
          <w:i w:val="0"/>
          <w:sz w:val="22"/>
        </w:rPr>
        <w:t>Hausarzt Dr. Wilfried Sommerlath dokumentiert am 14.09.2016 eine Vorstellung wegen Schulterschmerzen rechts nach einem Handballspiel, verordnet wird eine kurzzeitige Schonung ohne Bildgebung. Weitere Vorstellungen am 22.05.2017 und 03.03.2018 mit ähnlichem Beschwerdebild, jeweils folgenlos ausgeheilt, keine Arbeitsunfähigkeit länger als drei Tage.</w:t>
      </w:r>
    </w:p>
    <w:p>
      <w:pPr>
        <w:pStyle w:val="Heading2"/>
      </w:pPr>
      <w:r>
        <w:t>2. Sportliche Aktivität</w:t>
      </w:r>
    </w:p>
    <w:p>
      <w:r>
        <w:rPr>
          <w:rFonts w:ascii="Times New Roman" w:hAnsi="Times New Roman"/>
          <w:b w:val="0"/>
          <w:i w:val="0"/>
          <w:sz w:val="22"/>
        </w:rPr>
        <w:t>Herr Möller spielte bis 2018 in der Kreisliga Handball, seither nach eigenen Angaben nur noch gelegentlich Freizeitsport ohne Wettkampfbetrieb. Der Handballverein SG Trier-Ehrang bestätigt auf Anfrage der Kanzlei, dass Herr Möller seit der Saison 2018/2019 nicht mehr aktiv gemeldet ist.</w:t>
      </w:r>
    </w:p>
    <w:p>
      <w:pPr>
        <w:pStyle w:val="Heading2"/>
      </w:pPr>
      <w:r>
        <w:t>3. Betriebsärztliche Vorsorgeuntersuchung 2024</w:t>
      </w:r>
    </w:p>
    <w:p>
      <w:r>
        <w:rPr>
          <w:rFonts w:ascii="Times New Roman" w:hAnsi="Times New Roman"/>
          <w:b w:val="0"/>
          <w:i w:val="0"/>
          <w:sz w:val="22"/>
        </w:rPr>
        <w:t>Die turnusmäßige Vorsorgeuntersuchung durch die Betriebsärztin Dr. Swetlana Iwanowa am 11.03.2024 attestiert uneingeschränktte Tauglichkeit für die Tätigkeit als Lagerleiter einschließlich Hebe- und Tragtätigkeiten bis 15 Kilogramm, keine Einschränkung der Schulterfunktion dokumentiert.</w:t>
      </w:r>
    </w:p>
    <w:p>
      <w:pPr>
        <w:pStyle w:val="Heading2"/>
      </w:pPr>
      <w:r>
        <w:t>4. Fehlzeitenauswertung</w:t>
      </w:r>
    </w:p>
    <w:p>
      <w:r>
        <w:rPr>
          <w:rFonts w:ascii="Times New Roman" w:hAnsi="Times New Roman"/>
          <w:b w:val="0"/>
          <w:i w:val="0"/>
          <w:sz w:val="22"/>
        </w:rPr>
        <w:t>Nach der Personalakte gab es zwischen 2019 und dem Unfalltag keine einzige krankheitsbedingte Fehlzeit wegen Schulterbeschwerden. Die letzte schulterbezogene Arbeitsunfähigkeit lag mehr als sieben Jahre zurück.</w:t>
      </w:r>
    </w:p>
    <w:p>
      <w:pPr>
        <w:pStyle w:val="Heading2"/>
      </w:pPr>
      <w:r>
        <w:t>5. Bedeutung für die Kausalitätsfrage</w:t>
      </w:r>
    </w:p>
    <w:p>
      <w:r>
        <w:rPr>
          <w:rFonts w:ascii="Times New Roman" w:hAnsi="Times New Roman"/>
          <w:b w:val="0"/>
          <w:i w:val="0"/>
          <w:sz w:val="22"/>
        </w:rPr>
        <w:t>Die Zusammenstellung soll den Vorschaden weder verschweigen noch überzeichnen, sondern die Beschwerdefreiheit im Alltag und Beruf in den Jahren vor dem Unfall dokumentieren, um dem Sachverständigen und dem Gericht eine belastbare Tatsachengrundlage für die Abgrenzung von Vorschaden und Unfallfolge zu liefern.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Lindenhof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KANZLEI LINDENHOF UND PARTNER MBB</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