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Stufenantrag</w:t>
      </w:r>
    </w:p>
    <w:p>
      <w:pPr>
        <w:jc w:val="left"/>
      </w:pPr>
      <w:r>
        <w:t>An das Amtsgericht Hamburg - Familiengericht -</w:t>
      </w:r>
    </w:p>
    <w:p>
      <w:pPr>
        <w:jc w:val="left"/>
      </w:pPr>
      <w:r>
        <w:t>In der Familiensache Lene Harms gegen Joris Harms wegen Kindesunterhalt und Trennungsunterhalt beantragen wir im Wege des Stufenantrags:</w:t>
      </w:r>
    </w:p>
    <w:p>
      <w:pPr>
        <w:pStyle w:val="ListNumber"/>
      </w:pPr>
      <w:r>
        <w:t>Der Antragsgegner wird verpflichtet, der Antragstellerin Auskunft über seine Einkünfte aus nichtselbstständiger Arbeit, selbstständiger Tätigkeit, Geschäftsführervergütung, Gewinnausschüttungen, Privatentnahmen, geldwerten Vorteilen und Vermietung für die Jahre 2023, 2024, 2025 und das laufende Jahr 2026 zu erteilen.</w:t>
      </w:r>
    </w:p>
    <w:p>
      <w:pPr>
        <w:pStyle w:val="ListNumber"/>
      </w:pPr>
      <w:r>
        <w:t>Der Antragsgegner wird verpflichtet, die Auskunft durch Vorlage der im Antrag einzeln bezeichneten Belege zu belegen.</w:t>
      </w:r>
    </w:p>
    <w:p>
      <w:pPr>
        <w:pStyle w:val="ListNumber"/>
      </w:pPr>
      <w:r>
        <w:t>Der Antragsgegner wird verpflichtet, die Richtigkeit und Vollständigkeit der Auskunft an Eides statt zu versichern, falls die erteilte Auskunft unvollständig oder nicht mit hinreichender Sorgfalt erstellt erscheint.</w:t>
      </w:r>
    </w:p>
    <w:p>
      <w:pPr>
        <w:pStyle w:val="ListNumber"/>
      </w:pPr>
      <w:r>
        <w:t>Nach Erteilung der Auskunft bleibt die Bezifferung von Kindesunterhalt, Trennungsunterhalt, Rückständen und laufendem Unterhalt vorbehalten.</w:t>
      </w:r>
    </w:p>
    <w:p>
      <w:pPr>
        <w:jc w:val="left"/>
      </w:pPr>
      <w:r>
        <w:t>Begründung: Die Beteiligten sind verheiratet und leben seit dem 18.01.2026 getrennt. Die gemeinsamen minderjährigen Kinder leben im Haushalt der Antragstellerin. Der Antragsgegner hat seine Zahlungen ohne nachvollziehbare Einkommensdarlegung reduziert. Die bisher vorgelegte BWA reicht zur Unterhaltsberechnung nicht aus, weil sie nur ein Quartal betrifft und wesentliche Einkommensbestandteile aus Gesellschaft, Privatnutzung und Vermietung nicht offenlegt.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Hamburg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Hamburg</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