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Zeugenaussage Thorsten Schwingenstein-Birkenhainer</w:t>
      </w:r>
    </w:p>
    <w:p>
      <w:pPr>
        <w:jc w:val="left"/>
      </w:pPr>
      <w:r>
        <w:rPr>
          <w:b/>
        </w:rPr>
        <w:t>AZ:</w:t>
      </w:r>
      <w:r>
        <w:t xml:space="preserve"> 8 O 188/26</w:t>
      </w:r>
    </w:p>
    <w:p>
      <w:pPr>
        <w:jc w:val="left"/>
      </w:pPr>
      <w:r>
        <w:rPr>
          <w:b/>
        </w:rPr>
        <w:t>Termin:</w:t>
      </w:r>
      <w:r>
        <w:t xml:space="preserve"> 12.06.2026, 13:05 Uhr</w:t>
      </w:r>
    </w:p>
    <w:p>
      <w:pPr>
        <w:jc w:val="left"/>
      </w:pPr>
      <w:r>
        <w:rPr>
          <w:b/>
        </w:rPr>
        <w:t>Zeuge:</w:t>
      </w:r>
      <w:r>
        <w:t xml:space="preserve"> Thorsten Schwingenstein-Birkenhainer, geb. 22.07.1978, Lützowstraße 8, 04205 Leipzig; Bauleiter, beschäftigt bei Schreinmoor Bauträger AG</w:t>
      </w:r>
    </w:p>
    <w:p/>
    <w:p>
      <w:pPr>
        <w:pStyle w:val="Heading2"/>
      </w:pPr>
      <w:r>
        <w:rPr>
          <w:rFonts w:ascii="Times New Roman" w:hAnsi="Times New Roman"/>
        </w:rPr>
        <w:t>Belehrung und Angaben zur Person</w:t>
      </w:r>
    </w:p>
    <w:p>
      <w:pPr>
        <w:jc w:val="left"/>
      </w:pPr>
      <w:r>
        <w:t>Zeuge wurde gemäß §§ 395, 383 ZPO belehrt; kein Zeugnisverweigerungsrecht geltend gemacht. Zeuge ist aktuell noch Arbeitnehmer der Beklagten — Kammer beachtet mögliche Interessen.</w:t>
      </w:r>
    </w:p>
    <w:p/>
    <w:p>
      <w:pPr>
        <w:pStyle w:val="Heading2"/>
      </w:pPr>
      <w:r>
        <w:rPr>
          <w:rFonts w:ascii="Times New Roman" w:hAnsi="Times New Roman"/>
        </w:rPr>
        <w:t>Kernaussagen</w:t>
      </w:r>
    </w:p>
    <w:p>
      <w:pPr>
        <w:pStyle w:val="Heading3"/>
      </w:pPr>
      <w:r>
        <w:rPr>
          <w:rFonts w:ascii="Times New Roman" w:hAnsi="Times New Roman"/>
        </w:rPr>
        <w:t>Zur Abnahme 14.06.2023</w:t>
      </w:r>
    </w:p>
    <w:p>
      <w:pPr>
        <w:ind w:left="567"/>
      </w:pPr>
      <w:r>
        <w:rPr>
          <w:i/>
        </w:rPr>
        <w:t>"Die förmliche Abnahme fand am 14.06.2023 statt. Ich war als Bauleiter der Beklagten anwesend, zusammen mit Herrn Heinsberg (Geschäftsführer Klägerin) und unserem Projektsteuerer Herrn Dallmann. Das Protokoll wurde unterzeichnet. Im Protokoll sind Kleinmängel aufgeführt, hauptsächlich Estrichübergänge und Fensterfugen. Die nun gerügten Mängel — Risse, WU-Beton, Bewehrung — sind im Abnahmeprotokoll nicht vermerkt."</w:t>
      </w:r>
    </w:p>
    <w:p>
      <w:pPr>
        <w:jc w:val="left"/>
      </w:pPr>
      <w:r>
        <w:t>Auf Frage, warum nicht:</w:t>
      </w:r>
    </w:p>
    <w:p>
      <w:pPr>
        <w:ind w:left="567"/>
      </w:pPr>
      <w:r>
        <w:rPr>
          <w:i/>
        </w:rPr>
        <w:t>"Weil man die von außen nicht sehen konnte. Der Keller war zum Zeitpunkt der Abnahme nicht vollständig zugänglich — der Fußboden war noch nicht fertig. Die Risse haben wir erst bei Begehung im August 2023 gesehen, als die ersten Mieter einziehen sollten."</w:t>
      </w:r>
    </w:p>
    <w:p>
      <w:pPr>
        <w:pStyle w:val="Heading3"/>
      </w:pPr>
      <w:r>
        <w:rPr>
          <w:rFonts w:ascii="Times New Roman" w:hAnsi="Times New Roman"/>
        </w:rPr>
        <w:t>Zur Mängelrüge</w:t>
      </w:r>
    </w:p>
    <w:p>
      <w:pPr>
        <w:ind w:left="567"/>
      </w:pPr>
      <w:r>
        <w:rPr>
          <w:i/>
        </w:rPr>
        <w:t>"Ich habe persönlich das Mängelrügeschreiben vom 28.08.2023 vorbereitet. Die Rüge war konkret und detailliert. Wir haben Fotos gemacht und dem Schreiben beigelegt. Die Klägerin hat mit Schreiben vom 15.09.2023 geantwortet und Nachbesserung abgelehnt."</w:t>
      </w:r>
    </w:p>
    <w:p>
      <w:pPr>
        <w:pStyle w:val="Heading3"/>
      </w:pPr>
      <w:r>
        <w:rPr>
          <w:rFonts w:ascii="Times New Roman" w:hAnsi="Times New Roman"/>
        </w:rPr>
        <w:t>Zur Behauptung Eickenmueller (Anweisung des Bauleiters)</w:t>
      </w:r>
    </w:p>
    <w:p>
      <w:pPr>
        <w:ind w:left="567"/>
      </w:pPr>
      <w:r>
        <w:rPr>
          <w:i/>
        </w:rPr>
        <w:t>"Das ist falsch. Ich habe dem Polier Eickenmueller zu keinem Zeitpunkt angewiesen, das Bewehrungsraster zu ändern. Ich bin kein Baufachmann — ich bin Betriebswirt. Ich hätte das gar nicht beurteilen können. Ich vertraue den Plänen."</w:t>
      </w:r>
    </w:p>
    <w:p>
      <w:pPr>
        <w:pStyle w:val="Heading3"/>
      </w:pPr>
      <w:r>
        <w:rPr>
          <w:rFonts w:ascii="Times New Roman" w:hAnsi="Times New Roman"/>
        </w:rPr>
        <w:t>Zu Subunternehmer Betonart Sachsen GmbH</w:t>
      </w:r>
    </w:p>
    <w:p>
      <w:pPr>
        <w:ind w:left="567"/>
      </w:pPr>
      <w:r>
        <w:rPr>
          <w:i/>
        </w:rPr>
        <w:t>"Das ist mir neu. Ich wusste nicht, dass die Klägerin Subunternehmer für die Bewehrungsarbeiten eingesetzt hat. Das hätte sie uns mitteilen müssen (VOB/B § 4 Nr. 8)."</w:t>
      </w:r>
    </w:p>
    <w:p/>
    <w:p>
      <w:pPr>
        <w:pStyle w:val="Heading2"/>
      </w:pPr>
      <w:r>
        <w:rPr>
          <w:rFonts w:ascii="Times New Roman" w:hAnsi="Times New Roman"/>
        </w:rPr>
        <w:t>Glaubwürdigkeitsbewertung (Kammer)</w:t>
      </w:r>
    </w:p>
    <w:p>
      <w:pPr>
        <w:jc w:val="left"/>
      </w:pPr>
      <w:r>
        <w:t>Zeuge machte einen ruhigen, besonnenen Eindruck. Seine Aussagen sind in sich konsistent und werden durch die Aktenlage gestützt (Abnahmeprotokoll K3, Mängelrüge B3). Die Äußerung zur fehlenden Kenntnis des Subunternehmers erscheint glaubhaft.</w:t>
      </w:r>
    </w:p>
    <w:p>
      <w:pPr>
        <w:jc w:val="left"/>
      </w:pPr>
      <w:r>
        <w:t>Die Interessenlage als Arbeitnehmer der Beklagten ist zu berücksichtigen, kann aber allein die Aussage nicht entwerten.</w:t>
      </w:r>
    </w:p>
    <w:p>
      <w:pPr>
        <w:jc w:val="left"/>
      </w:pPr>
      <w:r>
        <w:t xml:space="preserve">Gesamteinschätzung: </w:t>
      </w:r>
      <w:r>
        <w:rPr>
          <w:b/>
        </w:rPr>
        <w:t>gut glaubwürdig</w:t>
      </w:r>
      <w:r>
        <w:t xml:space="preserve"> in Kernpunkten (Abnahme, Mängelrüge, Subunternehmer-Unkenntnis).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Schreinmoor Bauträger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Schreinmoor Bauträger AG</w:t>
    </w:r>
  </w:p>
  <w:p>
    <w:pPr>
      <w:jc w:val="left"/>
      <w:pBdr>
        <w:bottom w:val="single" w:sz="6" w:space="2" w:color="3B3F45"/>
      </w:pBdr>
    </w:pPr>
    <w:r>
      <w:rPr>
        <w:rFonts w:ascii="Times New Roman" w:hAnsi="Times New Roman"/>
        <w:color w:val="6B6B66"/>
        <w:sz w:val="16"/>
      </w:rPr>
      <w:t>geb. 22.07.1978, Lützowstraße 8, 04205 Leipzig; Bauleiter, beschäftigt bei Schreinmoor Bauträger AG · 8 O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