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Anhang — Subunternehmer Betonart Sachsen GmbH</w:t>
      </w:r>
    </w:p>
    <w:p>
      <w:pPr>
        <w:jc w:val="left"/>
      </w:pPr>
      <w:r>
        <w:rPr>
          <w:b/>
        </w:rPr>
        <w:t>AZ:</w:t>
      </w:r>
      <w:r>
        <w:t xml:space="preserve"> 8 O 188/26</w:t>
      </w:r>
    </w:p>
    <w:p>
      <w:pPr>
        <w:jc w:val="left"/>
      </w:pPr>
      <w:r>
        <w:rPr>
          <w:b/>
        </w:rPr>
        <w:t>Betreff:</w:t>
      </w:r>
      <w:r>
        <w:t xml:space="preserve"> Ermittlung Subunternehmer-Einsatz Bewehrungsarbeiten (neu ermittelt nach Zeugenaussage Eickenmueller)</w:t>
      </w:r>
    </w:p>
    <w:p/>
    <w:p>
      <w:pPr>
        <w:pStyle w:val="Heading2"/>
      </w:pPr>
      <w:r>
        <w:rPr>
          <w:rFonts w:ascii="Times New Roman" w:hAnsi="Times New Roman"/>
        </w:rPr>
        <w:t>Hintergrund</w:t>
      </w:r>
    </w:p>
    <w:p>
      <w:pPr>
        <w:jc w:val="left"/>
      </w:pPr>
      <w:r>
        <w:t>In der mündlichen Verhandlung vom 12.06.2026 hat der Zeuge Eickenmueller erstmals angegeben, dass die Bewehrungsarbeiten in den Treppenhaus-Abschnitten 2 und 3 nicht von Radarwarner GmbH-eigenen Arbeitnehmern, sondern von der Betonart Sachsen GmbH als Subunternehmer ausgeführt worden seien. Diese Tatsache war bis dahin nicht im Schriftsatz der Klägerin enthalten.</w:t>
      </w:r>
    </w:p>
    <w:p/>
    <w:p>
      <w:pPr>
        <w:pStyle w:val="Heading2"/>
      </w:pPr>
      <w:r>
        <w:rPr>
          <w:rFonts w:ascii="Times New Roman" w:hAnsi="Times New Roman"/>
        </w:rPr>
        <w:t>Rechtliche Relevanz</w:t>
      </w:r>
    </w:p>
    <w:p>
      <w:pPr>
        <w:pStyle w:val="Heading3"/>
      </w:pPr>
      <w:r>
        <w:rPr>
          <w:rFonts w:ascii="Times New Roman" w:hAnsi="Times New Roman"/>
        </w:rPr>
        <w:t>Haftung des Auftragnehmers für Subunternehmer</w:t>
      </w:r>
    </w:p>
    <w:p>
      <w:pPr>
        <w:jc w:val="left"/>
      </w:pPr>
      <w:r>
        <w:t>Nach VOB/B § 4 Nr. 8 Abs. 1 darf der Auftragnehmer Leistungen ohne Zustimmung des Auftraggebers nicht an Nachunternehmer übertragen. Ob eine solche Zustimmung vorlag, ist nicht dokumentiert.</w:t>
      </w:r>
    </w:p>
    <w:p>
      <w:pPr>
        <w:jc w:val="left"/>
      </w:pPr>
      <w:r>
        <w:t>Nach § 278 BGB haftet der Auftragnehmer für das Verschulden des Erfüllungsgehilfen (Subunternehmer) wie für eigenes Verschulden. Der Subunternehmer-Einsatz entlastet die Klägerin daher nicht.</w:t>
      </w:r>
    </w:p>
    <w:p>
      <w:pPr>
        <w:pStyle w:val="Heading3"/>
      </w:pPr>
      <w:r>
        <w:rPr>
          <w:rFonts w:ascii="Times New Roman" w:hAnsi="Times New Roman"/>
        </w:rPr>
        <w:t>Informationspflicht gegenüber Auftraggeber</w:t>
      </w:r>
    </w:p>
    <w:p>
      <w:pPr>
        <w:jc w:val="left"/>
      </w:pPr>
      <w:r>
        <w:t>Die Klägerin hätte nach VOB/B § 4 Nr. 8 die Beklagte über den Subunternehmereinsatz zu informieren gehabt. Das Unterlassen kann als Verstoß gegen die Kooperationspflicht gewertet werden.</w:t>
      </w:r>
    </w:p>
    <w:p/>
    <w:p>
      <w:pPr>
        <w:pStyle w:val="Heading2"/>
      </w:pPr>
      <w:r>
        <w:rPr>
          <w:rFonts w:ascii="Times New Roman" w:hAnsi="Times New Roman"/>
        </w:rPr>
        <w:t>Ermittlungsstand</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Punkt</w:t>
            </w:r>
          </w:p>
        </w:tc>
        <w:tc>
          <w:tcPr>
            <w:tcW w:type="dxa" w:w="4536"/>
          </w:tcPr>
          <w:p>
            <w:r>
              <w:rPr>
                <w:rFonts w:ascii="Times New Roman" w:hAnsi="Times New Roman"/>
                <w:b/>
                <w:sz w:val="20"/>
              </w:rPr>
              <w:t>Status</w:t>
            </w:r>
          </w:p>
        </w:tc>
      </w:tr>
      <w:tr>
        <w:tc>
          <w:tcPr>
            <w:tcW w:type="dxa" w:w="4536"/>
          </w:tcPr>
          <w:p>
            <w:r>
              <w:rPr>
                <w:rFonts w:ascii="Times New Roman" w:hAnsi="Times New Roman"/>
                <w:sz w:val="20"/>
              </w:rPr>
              <w:t>Subunternehmervertrag Betonart Sachsen GmbH</w:t>
            </w:r>
          </w:p>
        </w:tc>
        <w:tc>
          <w:tcPr>
            <w:tcW w:type="dxa" w:w="4536"/>
          </w:tcPr>
          <w:p>
            <w:r>
              <w:rPr>
                <w:rFonts w:ascii="Times New Roman" w:hAnsi="Times New Roman"/>
                <w:sz w:val="20"/>
              </w:rPr>
              <w:t>Von Klägerin nicht vorgelegt</w:t>
            </w:r>
          </w:p>
        </w:tc>
      </w:tr>
      <w:tr>
        <w:tc>
          <w:tcPr>
            <w:tcW w:type="dxa" w:w="4536"/>
          </w:tcPr>
          <w:p>
            <w:r>
              <w:rPr>
                <w:rFonts w:ascii="Times New Roman" w:hAnsi="Times New Roman"/>
                <w:sz w:val="20"/>
              </w:rPr>
              <w:t>Zustimmung Beklagte zu Subunternehmer</w:t>
            </w:r>
          </w:p>
        </w:tc>
        <w:tc>
          <w:tcPr>
            <w:tcW w:type="dxa" w:w="4536"/>
          </w:tcPr>
          <w:p>
            <w:r>
              <w:rPr>
                <w:rFonts w:ascii="Times New Roman" w:hAnsi="Times New Roman"/>
                <w:sz w:val="20"/>
              </w:rPr>
              <w:t>Nicht dokumentiert; Beklagte bestreitet Kenntnis</w:t>
            </w:r>
          </w:p>
        </w:tc>
      </w:tr>
      <w:tr>
        <w:tc>
          <w:tcPr>
            <w:tcW w:type="dxa" w:w="4536"/>
          </w:tcPr>
          <w:p>
            <w:r>
              <w:rPr>
                <w:rFonts w:ascii="Times New Roman" w:hAnsi="Times New Roman"/>
                <w:sz w:val="20"/>
              </w:rPr>
              <w:t>Haftungsfolge</w:t>
            </w:r>
          </w:p>
        </w:tc>
        <w:tc>
          <w:tcPr>
            <w:tcW w:type="dxa" w:w="4536"/>
          </w:tcPr>
          <w:p>
            <w:r>
              <w:rPr>
                <w:rFonts w:ascii="Times New Roman" w:hAnsi="Times New Roman"/>
                <w:sz w:val="20"/>
              </w:rPr>
              <w:t>Klägerin haftet für Bewehrungsfehler unabhängig vom Subunternehmereinsatz (§ 278 BGB)</w:t>
            </w:r>
          </w:p>
        </w:tc>
      </w:tr>
      <w:tr>
        <w:tc>
          <w:tcPr>
            <w:tcW w:type="dxa" w:w="4536"/>
          </w:tcPr>
          <w:p>
            <w:r>
              <w:rPr>
                <w:rFonts w:ascii="Times New Roman" w:hAnsi="Times New Roman"/>
                <w:sz w:val="20"/>
              </w:rPr>
              <w:t>Regressanspruch Klägerin gegen Betonart</w:t>
            </w:r>
          </w:p>
        </w:tc>
        <w:tc>
          <w:tcPr>
            <w:tcW w:type="dxa" w:w="4536"/>
          </w:tcPr>
          <w:p>
            <w:r>
              <w:rPr>
                <w:rFonts w:ascii="Times New Roman" w:hAnsi="Times New Roman"/>
                <w:sz w:val="20"/>
              </w:rPr>
              <w:t>Nicht Gegenstand dieses Verfahrens</w:t>
            </w:r>
          </w:p>
        </w:tc>
      </w:tr>
    </w:tbl>
    <w:p/>
    <w:p>
      <w:pPr>
        <w:pStyle w:val="Heading2"/>
      </w:pPr>
      <w:r>
        <w:rPr>
          <w:rFonts w:ascii="Times New Roman" w:hAnsi="Times New Roman"/>
        </w:rPr>
        <w:t>Bewertung Kammer</w:t>
      </w:r>
    </w:p>
    <w:p>
      <w:pPr>
        <w:jc w:val="left"/>
      </w:pPr>
      <w:r>
        <w:t>Der Subunternehmereinsatz ändert nichts an der Haftung der Klägerin als Hauptunternehmerin. Das Argument, Eickenmueller habe "keine Kontrolle gehabt", entlastet die Klägerin nicht. Die Haftung der Klägerin für die Bewehrungsabweichung bleibt bestehen.</w:t>
      </w:r>
    </w:p>
    <w:p>
      <w:pPr>
        <w:jc w:val="left"/>
      </w:pPr>
      <w:r>
        <w:t>Der verspätete Vortrag (erst in der Verhandlung) kann grundsätzlich nach § 296a ZPO als verspätet zurückgewiesen werden; die Kammer lässt ihn zur vollständigen Sachaufklärung zu.</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Subunternehmer Betonart Sachsen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Subunternehmer Betonart Sachsen GmbH</w:t>
    </w:r>
  </w:p>
  <w:p>
    <w:pPr>
      <w:jc w:val="left"/>
      <w:pBdr>
        <w:bottom w:val="single" w:sz="6" w:space="2" w:color="7B2D3B"/>
      </w:pBdr>
    </w:pPr>
    <w:r>
      <w:rPr>
        <w:rFonts w:ascii="Times New Roman" w:hAnsi="Times New Roman"/>
        <w:color w:val="6B6B66"/>
        <w:sz w:val="16"/>
      </w:rPr>
      <w:t>Unternehmen · 8 O 188/26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