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Moosstrom Speicher GmbH - Bridge und Down-Round-Druck</w:t>
      </w:r>
    </w:p>
    <w:p>
      <w:pPr>
        <w:jc w:val="left"/>
      </w:pPr>
      <w:r>
        <w:t>Moosstrom hat nur noch neun Wochen Runway. Der Gründer bittet um eine Insider Bridge von 1,8 Mio. EUR, davon 600.000 EUR Nebelstern. Ein Altinvestor will nur mitziehen, wenn alle nicht teilnehmenden Gesellschafter stark verwässert werden. Die Formulierung im Entwurf klingt wie pay-to-play, ist aber unscharf und könnte Minderheitskonflikte auslösen.</w:t>
      </w:r>
    </w:p>
    <w:p>
      <w:pPr>
        <w:pStyle w:val="Heading2"/>
      </w:pPr>
      <w:r>
        <w:rPr>
          <w:rFonts w:ascii="Times New Roman" w:hAnsi="Times New Roman"/>
        </w:rPr>
        <w:t>Entscheidung Freitag</w:t>
      </w:r>
    </w:p>
    <w:p>
      <w:pPr>
        <w:jc w:val="left"/>
      </w:pPr>
      <w:r>
        <w:t>Nebelstern muss entscheiden: Bridge mit harten Milestones, Bridge ablehnen, Down-Round begleiten, Verkauf vorbereiten oder Insolvenzrisiko prüfen. Das Plugin soll aus Updates, Cap Table und Term Sheet ein Follow-on-IC-Memo bauen.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Moosstrom Speicher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Moosstrom Speicher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