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BaFin-/KAGB-Grenznotiz — Strukturdisziplin bei Nebelstern</w:t>
      </w:r>
    </w:p>
    <w:p>
      <w:pPr>
        <w:jc w:val="left"/>
      </w:pPr>
      <w:r>
        <w:rPr>
          <w:b/>
        </w:rPr>
        <w:t>Anlass:</w:t>
      </w:r>
      <w:r>
        <w:t xml:space="preserve"> Zwei befreundete Family Offices wollen "beim nächsten Deal einfach mitmachen, ihr entscheidet ja eh besser". Genau diese Bequemlichkeit ist die Regulierungsfalle. Diese Notiz zieht die Linie zwischen erlaubnisfreiem Co-Investment und erlaubnispflichtigem Kollektivvehikel.</w:t>
      </w:r>
    </w:p>
    <w:p>
      <w:pPr>
        <w:pStyle w:val="Heading2"/>
      </w:pPr>
      <w:r>
        <w:rPr>
          <w:rFonts w:ascii="Times New Roman" w:hAnsi="Times New Roman"/>
        </w:rPr>
        <w:t>Der Maßstab: AIF-Begriff des § 1 Abs. 1 KAGB</w:t>
      </w:r>
    </w:p>
    <w:p>
      <w:pPr>
        <w:jc w:val="left"/>
      </w:pPr>
      <w:r>
        <w:t xml:space="preserve">Ein </w:t>
      </w:r>
      <w:r>
        <w:rPr>
          <w:b/>
        </w:rPr>
        <w:t>Investmentvermögen</w:t>
      </w:r>
      <w:r>
        <w:t xml:space="preserve"> ist jeder Organismus für gemeinsame Anlagen, der von einer </w:t>
      </w:r>
      <w:r>
        <w:rPr>
          <w:b/>
        </w:rPr>
        <w:t>Anzahl von Anlegern</w:t>
      </w:r>
      <w:r>
        <w:t xml:space="preserve"> Kapital einsammelt, um es gemäß einer </w:t>
      </w:r>
      <w:r>
        <w:rPr>
          <w:b/>
        </w:rPr>
        <w:t>festgelegten Anlagestrategie</w:t>
      </w:r>
      <w:r>
        <w:t xml:space="preserve"> zum </w:t>
      </w:r>
      <w:r>
        <w:rPr>
          <w:b/>
        </w:rPr>
        <w:t>Nutzen dieser Anleger</w:t>
      </w:r>
      <w:r>
        <w:t xml:space="preserve"> zu investieren, und der kein operatives Unternehmen außerhalb des Finanzsektors ist. Liegen alle Merkmale vor, braucht der Verwalter eine </w:t>
      </w:r>
      <w:r>
        <w:rPr>
          <w:b/>
        </w:rPr>
        <w:t>KVG-Registrierung oder -Erlaubnis</w:t>
      </w:r>
      <w:r>
        <w:t xml:space="preserve"> (§§ 20, 44 KAGB; bei kleinen Spezial-AIF die Registrierung nach § 2 Abs. 4 KAGB mit Schwellen 100/500 Mio. EUR), und der </w:t>
      </w:r>
      <w:r>
        <w:rPr>
          <w:b/>
        </w:rPr>
        <w:t>Vertrieb</w:t>
      </w:r>
      <w:r>
        <w:t xml:space="preserve"> ist nur nach KAGB-Regeln zulässig. Maßgeblich ist die Verwaltungspraxis aus dem BaFin-Auslegungsschreiben zum Investmentvermögensbegriff (Stand live prüfen) und den ESMA-Leitlinien zu Schlüsselbegriffen der AIFMD.</w:t>
      </w:r>
    </w:p>
    <w:p>
      <w:pPr>
        <w:pStyle w:val="Heading2"/>
      </w:pPr>
      <w:r>
        <w:rPr>
          <w:rFonts w:ascii="Times New Roman" w:hAnsi="Times New Roman"/>
        </w:rPr>
        <w:t>Was Nebelstern heute macht — und warum es diesseits der Linie bleibt</w:t>
      </w:r>
    </w:p>
    <w:p>
      <w:pPr>
        <w:pStyle w:val="ListBullet"/>
      </w:pPr>
      <w:r>
        <w:rPr>
          <w:b/>
        </w:rPr>
        <w:t>Eigene Bilanz</w:t>
      </w:r>
      <w:r>
        <w:t>: Nebelstern investiert eigenes Geld des Stamm-Family-Office. Ein Anleger = kein "Einsammeln von einer Anzahl von Anlegern".</w:t>
      </w:r>
    </w:p>
    <w:p>
      <w:pPr>
        <w:pStyle w:val="ListBullet"/>
      </w:pPr>
      <w:r>
        <w:rPr>
          <w:b/>
        </w:rPr>
        <w:t>Deal-by-Deal-Co-Investments</w:t>
      </w:r>
      <w:r>
        <w:t xml:space="preserve">: Die befreundeten Offices zeichnen </w:t>
      </w:r>
      <w:r>
        <w:rPr>
          <w:b/>
        </w:rPr>
        <w:t>direkt</w:t>
      </w:r>
      <w:r>
        <w:t xml:space="preserve"> im jeweiligen Startup (eigener Anteil, eigene KYC, eigenes Risiko) oder über eine </w:t>
      </w:r>
      <w:r>
        <w:rPr>
          <w:b/>
        </w:rPr>
        <w:t>deal-spezifische Zweckgesellschaft, in der jeder Co-Investor selbst entscheidet</w:t>
      </w:r>
      <w:r>
        <w:t xml:space="preserve"> (kein Entscheidungsmandat bei Nebelstern, keine Strategie über den Einzeldeal hinaus). Ohne festgelegte fortlaufende Anlagestrategie und ohne fremdes Kapitalpooling: kein AIF.</w:t>
      </w:r>
    </w:p>
    <w:p>
      <w:pPr>
        <w:pStyle w:val="ListBullet"/>
      </w:pPr>
      <w:r>
        <w:rPr>
          <w:b/>
        </w:rPr>
        <w:t>Kostenteilung</w:t>
      </w:r>
      <w:r>
        <w:t xml:space="preserve"> für DD ist unschädlich; </w:t>
      </w:r>
      <w:r>
        <w:rPr>
          <w:b/>
        </w:rPr>
        <w:t>Carry/Management Fee wären Indizien</w:t>
      </w:r>
      <w:r>
        <w:t xml:space="preserve"> für Verwaltung fremden Vermögens — Nebelstern nimmt bei Co-Investments derzeit bewusst keines von beidem.</w:t>
      </w:r>
    </w:p>
    <w:p>
      <w:pPr>
        <w:pStyle w:val="Heading2"/>
      </w:pPr>
      <w:r>
        <w:rPr>
          <w:rFonts w:ascii="Times New Roman" w:hAnsi="Times New Roman"/>
        </w:rPr>
        <w:t>Wo die Linie überschritten wäre</w:t>
      </w:r>
    </w:p>
    <w:p>
      <w:pPr>
        <w:pStyle w:val="ListNumber"/>
      </w:pPr>
      <w:r>
        <w:rPr>
          <w:b/>
        </w:rPr>
        <w:t>Blind Pool</w:t>
      </w:r>
      <w:r>
        <w:t>: Die Offices überweisen vorab auf ein Nebelstern-Konto "für die nächsten Deals" → Kapitaleinsammeln + Strategie = AIF.</w:t>
      </w:r>
    </w:p>
    <w:p>
      <w:pPr>
        <w:pStyle w:val="ListNumber"/>
      </w:pPr>
      <w:r>
        <w:rPr>
          <w:b/>
        </w:rPr>
        <w:t>Dauerhaftes Pooling-Vehikel</w:t>
      </w:r>
      <w:r>
        <w:t xml:space="preserve"> mit Nebelstern-Entscheidungsmacht über mehrere Investments → AIF; ab dann KVG-Frage, Vertriebsanzeige, Verwahrstellen-Diskussion.</w:t>
      </w:r>
    </w:p>
    <w:p>
      <w:pPr>
        <w:pStyle w:val="ListNumber"/>
      </w:pPr>
      <w:r>
        <w:rPr>
          <w:b/>
        </w:rPr>
        <w:t>Erfolgsabhängige Vergütung</w:t>
      </w:r>
      <w:r>
        <w:t xml:space="preserve"> für die "Auswahlleistung" bei wiederholten Co-Investments → starkes Indiz für Portfolioverwaltung; zusätzlich KWG-Abgrenzung (Anlageberatung/-vermittlung §§ 1 Abs. 1a, 32 KWG bzw. WpIG) prüfen.</w:t>
      </w:r>
    </w:p>
    <w:p>
      <w:pPr>
        <w:pStyle w:val="ListNumber"/>
      </w:pPr>
      <w:r>
        <w:rPr>
          <w:b/>
        </w:rPr>
        <w:t>Öffentliche Ansprache</w:t>
      </w:r>
      <w:r>
        <w:t xml:space="preserve"> weiterer Anleger ("kennt ihr noch jemanden?") → Vertriebsrecht.</w:t>
      </w:r>
    </w:p>
    <w:p>
      <w:pPr>
        <w:pStyle w:val="Heading2"/>
      </w:pPr>
      <w:r>
        <w:rPr>
          <w:rFonts w:ascii="Times New Roman" w:hAnsi="Times New Roman"/>
        </w:rPr>
        <w:t>Arbeitsregeln ab sofort</w:t>
      </w:r>
    </w:p>
    <w:p>
      <w:pPr>
        <w:pStyle w:val="ListBullet"/>
      </w:pPr>
      <w:r>
        <w:t>Jede Co-Investment-Struktur läuft vor Versand des ersten Term Sheets über die Strukturprüfung (Checkliste: Wer entscheidet? Wessen Geld? Einzeldeal oder Strategie? Vergütung?). Ergebnisvermerk in die Deal-Akte.</w:t>
      </w:r>
    </w:p>
    <w:p>
      <w:pPr>
        <w:pStyle w:val="ListBullet"/>
      </w:pPr>
      <w:r>
        <w:t>Kommunikation an die Offices ausschließlich deal-bezogen, mit eigenem Zeichnungsdokument und eigenem Risikohinweis; keine "Programm"-Rhetorik in Mails (das Wort "Fonds" ist gestrichen).</w:t>
      </w:r>
    </w:p>
    <w:p>
      <w:pPr>
        <w:pStyle w:val="ListBullet"/>
      </w:pPr>
      <w:r>
        <w:t xml:space="preserve">Sollte das Volumen wiederkehrender Co-Investments wachsen: proaktive Beratung zur </w:t>
      </w:r>
      <w:r>
        <w:rPr>
          <w:b/>
        </w:rPr>
        <w:t>§ 2 Abs. 4 KAGB-Registrierung</w:t>
      </w:r>
      <w:r>
        <w:t xml:space="preserve"> als sauberer Pfad — Kostenrahmen und Pflichten (Reporting nach AIFM-Berichtsverordnung) einmal jährlich dem IC vorlegen.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BaFin-/KAGB-Grenznotiz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BaFin-/KAGB-Grenznotiz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