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OVG Saarland 1 B 14/26 — Beschwerdeentscheidung, 15.03.2026</w:t>
      </w:r>
    </w:p>
    <w:p>
      <w:pPr>
        <w:jc w:val="left"/>
      </w:pPr>
      <w:r>
        <w:rPr>
          <w:b/>
        </w:rPr>
        <w:t>Gericht:</w:t>
      </w:r>
      <w:r>
        <w:t xml:space="preserve"> Oberverwaltungsgericht des Saarlandes</w:t>
      </w:r>
    </w:p>
    <w:p>
      <w:pPr>
        <w:jc w:val="left"/>
      </w:pPr>
      <w:r>
        <w:rPr>
          <w:b/>
        </w:rPr>
        <w:t>Aktenzeichen:</w:t>
      </w:r>
      <w:r>
        <w:t xml:space="preserve"> 1 B 14/26</w:t>
      </w:r>
    </w:p>
    <w:p>
      <w:pPr>
        <w:jc w:val="left"/>
      </w:pPr>
      <w:r>
        <w:rPr>
          <w:b/>
        </w:rPr>
        <w:t>Datum:</w:t>
      </w:r>
      <w:r>
        <w:t xml:space="preserve"> 15. März 2026, 22:14 Uhr (Zustellung per Fax)</w:t>
      </w:r>
    </w:p>
    <w:p>
      <w:pPr>
        <w:jc w:val="left"/>
      </w:pPr>
      <w:r>
        <w:rPr>
          <w:b/>
        </w:rPr>
        <w:t>Senat:</w:t>
      </w:r>
      <w:r>
        <w:t xml:space="preserve"> 1. Senat</w:t>
      </w:r>
    </w:p>
    <w:p>
      <w:pPr>
        <w:jc w:val="left"/>
      </w:pPr>
      <w:r>
        <w:rPr>
          <w:b/>
        </w:rPr>
        <w:t>Vorsitzende:</w:t>
      </w:r>
      <w:r>
        <w:t xml:space="preserve"> OVGRin Dr. Bredow-Steinbrecher</w:t>
      </w:r>
    </w:p>
    <w:p>
      <w:pPr>
        <w:jc w:val="left"/>
      </w:pPr>
      <w:r>
        <w:rPr>
          <w:b/>
        </w:rPr>
        <w:t>Beisitzer:</w:t>
      </w:r>
      <w:r>
        <w:t xml:space="preserve"> OVGRin Warnkross, OVGRin Pfeuffer-Dahlke</w:t>
      </w:r>
    </w:p>
    <w:p>
      <w:pPr>
        <w:jc w:val="left"/>
      </w:pPr>
      <w:r>
        <w:rPr>
          <w:b/>
        </w:rPr>
        <w:t>Gegenstand:</w:t>
      </w:r>
      <w:r>
        <w:t xml:space="preserve"> Beschwerde gegen VG Saarlouis 2 K 188/26 (Ablehnung § 80 V VwGO)</w:t>
      </w:r>
    </w:p>
    <w:p/>
    <w:p>
      <w:pPr>
        <w:pStyle w:val="Heading2"/>
      </w:pPr>
      <w:r>
        <w:rPr>
          <w:rFonts w:ascii="Times New Roman" w:hAnsi="Times New Roman"/>
        </w:rPr>
        <w:t>I. Tenor</w:t>
      </w:r>
    </w:p>
    <w:p>
      <w:pPr>
        <w:jc w:val="left"/>
      </w:pPr>
      <w:r>
        <w:t xml:space="preserve">Die Beschwerde wird </w:t>
      </w:r>
      <w:r>
        <w:rPr>
          <w:b/>
        </w:rPr>
        <w:t>zurückgewiesen</w:t>
      </w:r>
      <w:r>
        <w:t>.</w:t>
      </w:r>
    </w:p>
    <w:p>
      <w:pPr>
        <w:jc w:val="left"/>
      </w:pPr>
      <w:r>
        <w:t>Die Antragsteller tragen die Kosten des Beschwerdeverfahrens.</w:t>
      </w:r>
    </w:p>
    <w:p>
      <w:pPr>
        <w:jc w:val="left"/>
      </w:pPr>
      <w:r>
        <w:t xml:space="preserve">Streitwert: </w:t>
      </w:r>
      <w:r>
        <w:rPr>
          <w:b/>
        </w:rPr>
        <w:t>5.000 EUR</w:t>
      </w:r>
      <w:r>
        <w:t xml:space="preserve"> (unverändert).</w:t>
      </w:r>
    </w:p>
    <w:p/>
    <w:p>
      <w:pPr>
        <w:pStyle w:val="Heading2"/>
      </w:pPr>
      <w:r>
        <w:rPr>
          <w:rFonts w:ascii="Times New Roman" w:hAnsi="Times New Roman"/>
        </w:rPr>
        <w:t>II. Entscheidungsgründe des OVG (zusammengefasst)</w:t>
      </w:r>
    </w:p>
    <w:p>
      <w:pPr>
        <w:pStyle w:val="Heading3"/>
      </w:pPr>
      <w:r>
        <w:rPr>
          <w:rFonts w:ascii="Times New Roman" w:hAnsi="Times New Roman"/>
        </w:rPr>
        <w:t>II.1 Zur Statthaftigkeit</w:t>
      </w:r>
    </w:p>
    <w:p>
      <w:pPr>
        <w:jc w:val="left"/>
      </w:pPr>
      <w:r>
        <w:t>Die Beschwerde ist nach § 146 VwGO statthaft und fristgerecht eingelegt. Inhaltlich wird sie im Wesentlichen damit begründet, das VG habe Art. 8 GG unrichtig ausgelegt und die Verhaeltnismaessigkeit fehlerhaft beurteilt.</w:t>
      </w:r>
    </w:p>
    <w:p>
      <w:pPr>
        <w:pStyle w:val="Heading3"/>
      </w:pPr>
      <w:r>
        <w:rPr>
          <w:rFonts w:ascii="Times New Roman" w:hAnsi="Times New Roman"/>
        </w:rPr>
        <w:t>II.2 Zum Schutzbereich</w:t>
      </w:r>
    </w:p>
    <w:p>
      <w:pPr>
        <w:jc w:val="left"/>
      </w:pPr>
      <w:r>
        <w:t>Das OVG sieht im Unterschied zum VG den Schutzbereich des Art. 8 I GG als eroffnet an. Ein Dauercamp mit klar politischem Zweck (Klimaprotestcamp) ist als Versammlung im verfassungsrechtlichen Sinne zu qualifizieren. Der Senat folgt insoweit der Rechtsprechung des BVerfG (BVerfGE 69, 315 — Bruesen). Das vom Stadtrechtsamt vorgebrachte Argument, Schichtbetrieb schliesse den Versammlungsbegriff aus, trägt nicht.</w:t>
      </w:r>
    </w:p>
    <w:p>
      <w:pPr>
        <w:pStyle w:val="Heading3"/>
      </w:pPr>
      <w:r>
        <w:rPr>
          <w:rFonts w:ascii="Times New Roman" w:hAnsi="Times New Roman"/>
        </w:rPr>
        <w:t>II.3 Zur Bannmeile und dem Eingriff</w:t>
      </w:r>
    </w:p>
    <w:p>
      <w:pPr>
        <w:jc w:val="left"/>
      </w:pPr>
      <w:r>
        <w:t>§ 16 SaarlVersG ist als Schrankengesetz i.S.v. Art. 8 II GG zu qualifizieren. Die Norm ist hinreichend bestimmt. Die Verbotsverfügung stellt einen Eingriff in den Schutzbereich dar.</w:t>
      </w:r>
    </w:p>
    <w:p>
      <w:pPr>
        <w:jc w:val="left"/>
      </w:pPr>
      <w:r>
        <w:t>Der Eingriff ist jedoch nach Auffassung des Senats gerechtfertigt:</w:t>
      </w:r>
    </w:p>
    <w:p>
      <w:pPr>
        <w:jc w:val="left"/>
      </w:pPr>
      <w:r>
        <w:rPr>
          <w:b/>
        </w:rPr>
        <w:t>a) Legitimer Zweck:</w:t>
      </w:r>
      <w:r>
        <w:t xml:space="preserve"> Schutz der Funktionsfähigkeit des Saarländischen Landtags. Das Parlament ist während der laufenden Plenarsitzungswochen (17.03.-14.04.2026 und 27.04.-30.04.2026) auf ungestorten Zugang und Betrieb angewiesen.</w:t>
      </w:r>
    </w:p>
    <w:p>
      <w:pPr>
        <w:jc w:val="left"/>
      </w:pPr>
      <w:r>
        <w:rPr>
          <w:b/>
        </w:rPr>
        <w:t>b) Geeignetheit:</w:t>
      </w:r>
      <w:r>
        <w:t xml:space="preserve"> Ein vollständiges Verbot des Camps auf dem Landtagsvorplatz ist geeignet, die Beeinträchtigung des Parlamentsbetriebs zu verhindern.</w:t>
      </w:r>
    </w:p>
    <w:p>
      <w:pPr>
        <w:jc w:val="left"/>
      </w:pPr>
      <w:r>
        <w:rPr>
          <w:b/>
        </w:rPr>
        <w:t>c) Erforderlichkeit:</w:t>
      </w:r>
      <w:r>
        <w:t xml:space="preserve"> Der Senat hält mildere Mittel für nicht ausreichend. Ein auf die Nachtstunden reduziertes Verbot oder ein Teilverbot wäre praktisch nicht vollziehbar gewesen. Die Entfernung eines einmal errichteten Camps sei erheblich aufwändiger als ein Praeventiverbot.</w:t>
      </w:r>
    </w:p>
    <w:p>
      <w:pPr>
        <w:jc w:val="left"/>
      </w:pPr>
      <w:r>
        <w:rPr>
          <w:b/>
        </w:rPr>
        <w:t>d) Angemessenheit:</w:t>
      </w:r>
      <w:r>
        <w:t xml:space="preserve"> In der Abwägung zwischen Versammlungsfreiheit und parlamentarischem Funktionsschutz überwiege Letzterer angesichts der Länge des geplanten Camps (46 Tage) und der Intensität der geplanten Einwirkung (Lautsprecher, Zelte, Dauerpraesenz).</w:t>
      </w:r>
    </w:p>
    <w:p>
      <w:pPr>
        <w:pStyle w:val="Heading3"/>
      </w:pPr>
      <w:r>
        <w:rPr>
          <w:rFonts w:ascii="Times New Roman" w:hAnsi="Times New Roman"/>
        </w:rPr>
        <w:t>II.4 Zum Eilrechtsschutz-Interesse</w:t>
      </w:r>
    </w:p>
    <w:p>
      <w:pPr>
        <w:jc w:val="left"/>
      </w:pPr>
      <w:r>
        <w:t>Der Senat betont, dass der Anlass des Protests (laufende Legislativberatungen zur Klimapolitik) zeitlich bedingt und die Entscheidung ohnehin nur für einen künftig kaum mehr relevant werdenden Zeitraum gilt. Insofern bestehe kein besonderes Rechtsschutzinteresse mehr für eine anderweitige Entscheidung.</w:t>
      </w:r>
    </w:p>
    <w:p/>
    <w:p>
      <w:pPr>
        <w:pStyle w:val="Heading2"/>
      </w:pPr>
      <w:r>
        <w:rPr>
          <w:rFonts w:ascii="Times New Roman" w:hAnsi="Times New Roman"/>
        </w:rPr>
        <w:t>III. Kanzlei-Analyse — Revisionswuerdige Punkte für BVerfG</w:t>
      </w:r>
    </w:p>
    <w:p>
      <w:pPr>
        <w:pStyle w:val="Heading3"/>
      </w:pPr>
      <w:r>
        <w:rPr>
          <w:rFonts w:ascii="Times New Roman" w:hAnsi="Times New Roman"/>
        </w:rPr>
        <w:t>III.1 Verfassungswidrige Auslegung der Erforderlichkeit</w:t>
      </w:r>
    </w:p>
    <w:p>
      <w:pPr>
        <w:jc w:val="left"/>
      </w:pPr>
      <w:r>
        <w:t>Das OVG hat die Erforderlichkeitspruefung auf die praktische Vollzugsschwierigkeit reduziert — dies ist kein rechtlich tragfähiges Argument. Das BVerfG prüft die Erforderlichkeit abstrakt: Gibt es mildere, gleich geeignete Mittel? Dies ist zu bejahen (räumliche Verlagerung des Camps, Auflage bzgl. Beschallungszeiten, Abstandsgebot). Vgl. Aktenstück 18.</w:t>
      </w:r>
    </w:p>
    <w:p>
      <w:pPr>
        <w:pStyle w:val="Heading3"/>
      </w:pPr>
      <w:r>
        <w:rPr>
          <w:rFonts w:ascii="Times New Roman" w:hAnsi="Times New Roman"/>
        </w:rPr>
        <w:t>III.2 Angemessenheit — Unzureichende Gewichtung der Versammlungsfreiheit</w:t>
      </w:r>
    </w:p>
    <w:p>
      <w:pPr>
        <w:jc w:val="left"/>
      </w:pPr>
      <w:r>
        <w:t>Die Angemessenheitsabwaegung des OVG gewichtet die Versammlungsfreiheit unterdurchschnittlich. Nach BVerfGE 69, 315 (Bruesen, Rn. 64 f.) ist die Versammlungsfreiheit als „unverzichtbares Funktionselement eines demokratischen Gemeinwesens" besonders hoch zu gewichten; Einschränkungen erfordern gewichtige Gegengründe. Ein laufendes Klimaschutzgesetzgebungsverfahren im Landtag macht gerade den Zeitraum des Protests zum besonders schutzwürdigen Moment politischer Meinungsaeusserung.</w:t>
      </w:r>
    </w:p>
    <w:p>
      <w:pPr>
        <w:pStyle w:val="Heading3"/>
      </w:pPr>
      <w:r>
        <w:rPr>
          <w:rFonts w:ascii="Times New Roman" w:hAnsi="Times New Roman"/>
        </w:rPr>
        <w:t>III.3 Erledigung — kein Wegfall des Rechtsschutzinteresses</w:t>
      </w:r>
    </w:p>
    <w:p>
      <w:pPr>
        <w:jc w:val="left"/>
      </w:pPr>
      <w:r>
        <w:t>Das OVG verkennt, dass bei Versammlungsverboten, die in kurzer Zeit in der Wirkung erledigend sind, das Rechtsschutzinteresse nach der Rechtsprechung des BVerfG erhalten bleibt. Die Rehabilitation und die Grundrechtssicherung für zukünftige Camps genügen als Rechtsschutzinteresse (vgl. BVerfG, Beschl. v. 03.03.2004 — 1 BvR 461/03, NJW 2004, 2079).</w:t>
      </w:r>
    </w:p>
    <w:p>
      <w:pPr>
        <w:pStyle w:val="Heading3"/>
      </w:pPr>
      <w:r>
        <w:rPr>
          <w:rFonts w:ascii="Times New Roman" w:hAnsi="Times New Roman"/>
        </w:rPr>
        <w:t>III.4 Offengelassene Frage — Zeitlich erledigtes Versammlungsverbot</w:t>
      </w:r>
    </w:p>
    <w:p>
      <w:pPr>
        <w:jc w:val="left"/>
      </w:pPr>
      <w:r>
        <w:t>Da das geplante Camp (16.03.-30.04.2026) im Laufe des Verfahrens zeitlich beginnt und das OVG die Beschwerde erst am 15.03. — einen Tag vor Campbeginn — entschieden hat, ergibt sich ein besonderes Recht auf effektiven Rechtsschutz (Art. 19 IV GG). Die Schnelligkeit der Entscheidung genügt nicht dem Gebot effektiven Rechtsschutzes in Versammlungssachen.</w:t>
      </w:r>
    </w:p>
    <w:p/>
    <w:p>
      <w:pPr>
        <w:pStyle w:val="Heading2"/>
      </w:pPr>
      <w:r>
        <w:rPr>
          <w:rFonts w:ascii="Times New Roman" w:hAnsi="Times New Roman"/>
        </w:rPr>
        <w:t>IV. Verfahrensfortgang</w:t>
      </w:r>
    </w:p>
    <w:p>
      <w:pPr>
        <w:jc w:val="left"/>
      </w:pPr>
      <w:r>
        <w:t>Mit Beschluss vom 15.03.2026, 22:14 Uhr zugegangen, ist der Rechtsweg erschöpft.</w:t>
      </w:r>
    </w:p>
    <w:p>
      <w:pPr>
        <w:jc w:val="left"/>
      </w:pPr>
      <w:r>
        <w:t>Verfassungsbeschwerde und Eilantrag § 32 BVerfGG werden am 16.03.2026 eingereicht.</w:t>
      </w:r>
    </w:p>
    <w:p>
      <w:pPr>
        <w:jc w:val="left"/>
      </w:pPr>
      <w:r>
        <w:t>Vgl. Aktenstück 05 (Verfassungsbeschwerdeschrift) und Aktenstück 06 (Eilantrag).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Gericht: Oberverwaltungsgericht des Saarlandes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Gericht: Oberverwaltungsgericht des Saarlandes</w:t>
    </w:r>
  </w:p>
  <w:p>
    <w:pPr>
      <w:jc w:val="left"/>
      <w:pBdr>
        <w:bottom w:val="single" w:sz="6" w:space="2" w:color="3B3F45"/>
      </w:pBdr>
    </w:pPr>
    <w:r>
      <w:rPr>
        <w:rFonts w:ascii="Times New Roman" w:hAnsi="Times New Roman"/>
        <w:color w:val="6B6B66"/>
        <w:sz w:val="16"/>
      </w:rPr>
      <w:t>Gericht · 1 B 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