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— Verfassungsbeschwerdeschrift (Entwurf Version 3)</w:t>
      </w:r>
    </w:p>
    <w:p>
      <w:pPr>
        <w:jc w:val="left"/>
      </w:pPr>
      <w:r>
        <w:rPr>
          <w:b/>
        </w:rPr>
        <w:t>Kanzlei:</w:t>
      </w:r>
      <w:r>
        <w:t xml:space="preserve"> Roosendaal Schwingenstein Partner, Saarbruecken</w:t>
      </w:r>
    </w:p>
    <w:p>
      <w:pPr>
        <w:jc w:val="left"/>
      </w:pPr>
      <w:r>
        <w:rPr>
          <w:b/>
        </w:rPr>
        <w:t>Aktenzeichen:</w:t>
      </w:r>
      <w:r>
        <w:t xml:space="preserve"> MR-2026-VB-0312</w:t>
      </w:r>
    </w:p>
    <w:p>
      <w:pPr>
        <w:jc w:val="left"/>
      </w:pPr>
      <w:r>
        <w:rPr>
          <w:b/>
        </w:rPr>
        <w:t>Stand:</w:t>
      </w:r>
      <w:r>
        <w:t xml:space="preserve"> 16.03.2026, 06:30 Uhr (Version 3, finale Fassung vor Einreichung)</w:t>
      </w:r>
    </w:p>
    <w:p>
      <w:pPr>
        <w:jc w:val="left"/>
      </w:pPr>
      <w:r>
        <w:rPr>
          <w:b/>
        </w:rPr>
        <w:t>Bearbeiter:</w:t>
      </w:r>
      <w:r>
        <w:t xml:space="preserve"> RA Dr. Roosendaal-Eichmueller, unter Mitwirkung Prof. Dr. Birkenhain</w:t>
      </w:r>
    </w:p>
    <w:p/>
    <w:p>
      <w:pPr>
        <w:pStyle w:val="Heading2"/>
      </w:pPr>
      <w:r>
        <w:rPr>
          <w:rFonts w:ascii="Times New Roman" w:hAnsi="Times New Roman"/>
        </w:rPr>
        <w:t>AN DAS BUNDESVERFASSUNGSGERICHT</w:t>
      </w:r>
    </w:p>
    <w:p>
      <w:pPr>
        <w:jc w:val="left"/>
      </w:pPr>
      <w:r>
        <w:rPr>
          <w:b/>
        </w:rPr>
        <w:t>Schlossbezirk 3, 76131 Karlsruhe</w:t>
      </w:r>
    </w:p>
    <w:p/>
    <w:p>
      <w:pPr>
        <w:pStyle w:val="Heading2"/>
      </w:pPr>
      <w:r>
        <w:rPr>
          <w:rFonts w:ascii="Times New Roman" w:hAnsi="Times New Roman"/>
        </w:rPr>
        <w:t>Verfassungsbeschwerde</w:t>
      </w:r>
    </w:p>
    <w:p>
      <w:pPr>
        <w:pStyle w:val="Heading3"/>
      </w:pPr>
      <w:r>
        <w:rPr>
          <w:rFonts w:ascii="Times New Roman" w:hAnsi="Times New Roman"/>
        </w:rPr>
        <w:t>der</w:t>
      </w:r>
    </w:p>
    <w:p>
      <w:pPr>
        <w:pStyle w:val="ListNumber"/>
      </w:pPr>
      <w:r>
        <w:rPr>
          <w:b/>
        </w:rPr>
        <w:t>Klimacamp Initiative Saarbruecken e.V.</w:t>
      </w:r>
      <w:r>
        <w:t>, Nauwieserstrasse 14, 66111 Saarbruecken,</w:t>
      </w:r>
    </w:p>
    <w:p>
      <w:pPr>
        <w:pStyle w:val="ListNumber"/>
      </w:pPr>
      <w:r>
        <w:rPr>
          <w:b/>
        </w:rPr>
        <w:t>Leon Steffenhagen</w:t>
      </w:r>
      <w:r>
        <w:t>, 66117 Saarbruecken,</w:t>
      </w:r>
    </w:p>
    <w:p>
      <w:pPr>
        <w:pStyle w:val="ListNumber"/>
      </w:pPr>
      <w:r>
        <w:rPr>
          <w:b/>
        </w:rPr>
        <w:t>Annika Dreisbach-Möller</w:t>
      </w:r>
      <w:r>
        <w:t>, 66119 Saarbruecken,</w:t>
      </w:r>
    </w:p>
    <w:p>
      <w:pPr>
        <w:pStyle w:val="ListNumber"/>
      </w:pPr>
      <w:r>
        <w:rPr>
          <w:b/>
        </w:rPr>
        <w:t>Carla Hentschel</w:t>
      </w:r>
      <w:r>
        <w:t>, 66121 Saarbruecken,</w:t>
      </w:r>
    </w:p>
    <w:p>
      <w:pPr>
        <w:pStyle w:val="ListNumber"/>
      </w:pPr>
      <w:r>
        <w:rPr>
          <w:b/>
        </w:rPr>
        <w:t>Tobias Nathrath</w:t>
      </w:r>
      <w:r>
        <w:t>, 66123 Saarbruecken,</w:t>
      </w:r>
    </w:p>
    <w:p>
      <w:pPr>
        <w:pStyle w:val="ListNumber"/>
      </w:pPr>
      <w:r>
        <w:rPr>
          <w:b/>
        </w:rPr>
        <w:t>Sandra Willbold-Kern</w:t>
      </w:r>
      <w:r>
        <w:t>, 66125 Saarbruecken,</w:t>
      </w:r>
    </w:p>
    <w:p>
      <w:pPr>
        <w:pStyle w:val="ListNumber"/>
      </w:pPr>
      <w:r>
        <w:rPr>
          <w:b/>
        </w:rPr>
        <w:t>Werner Guettler</w:t>
      </w:r>
      <w:r>
        <w:t>, 66127 Saarbruecken,</w:t>
      </w:r>
    </w:p>
    <w:p>
      <w:pPr>
        <w:pStyle w:val="ListNumber"/>
      </w:pPr>
      <w:r>
        <w:rPr>
          <w:b/>
        </w:rPr>
        <w:t>Dr. Maja Pohlmann-Wittfeldt</w:t>
      </w:r>
      <w:r>
        <w:t>, 66113 Saarbruecken,</w:t>
      </w:r>
    </w:p>
    <w:p>
      <w:pPr>
        <w:pStyle w:val="ListNumber"/>
      </w:pPr>
      <w:r>
        <w:rPr>
          <w:b/>
        </w:rPr>
        <w:t>Rafal Szymanski-Berger</w:t>
      </w:r>
      <w:r>
        <w:t>, 66115 Saarbruecken,</w:t>
      </w:r>
    </w:p>
    <w:p>
      <w:pPr>
        <w:pStyle w:val="ListNumber"/>
      </w:pPr>
      <w:r>
        <w:rPr>
          <w:b/>
        </w:rPr>
        <w:t>Fatima El-Khatib</w:t>
      </w:r>
      <w:r>
        <w:t>, 66117 Saarbruecken,</w:t>
      </w:r>
    </w:p>
    <w:p>
      <w:pPr>
        <w:pStyle w:val="ListNumber"/>
      </w:pPr>
      <w:r>
        <w:rPr>
          <w:b/>
        </w:rPr>
        <w:t>Joerg Bruenneke</w:t>
      </w:r>
      <w:r>
        <w:t>, 66119 Saarbruecken,</w:t>
      </w:r>
    </w:p>
    <w:p>
      <w:pPr>
        <w:pStyle w:val="ListNumber"/>
      </w:pPr>
      <w:r>
        <w:rPr>
          <w:b/>
        </w:rPr>
        <w:t>Ursula Kappelhoff</w:t>
      </w:r>
      <w:r>
        <w:t>, 66121 Saarbruecken,</w:t>
      </w:r>
    </w:p>
    <w:p>
      <w:pPr>
        <w:pStyle w:val="ListNumber"/>
      </w:pPr>
      <w:r>
        <w:rPr>
          <w:b/>
        </w:rPr>
        <w:t>Kaspar Veldtmann</w:t>
      </w:r>
      <w:r>
        <w:t>, 66123 Saarbruecken,</w:t>
      </w:r>
    </w:p>
    <w:p>
      <w:pPr>
        <w:pStyle w:val="ListNumber"/>
      </w:pPr>
      <w:r>
        <w:rPr>
          <w:b/>
        </w:rPr>
        <w:t>Birgit Roszkowski</w:t>
      </w:r>
      <w:r>
        <w:t>, 66125 Saarbruecken,</w:t>
      </w:r>
    </w:p>
    <w:p>
      <w:pPr>
        <w:pStyle w:val="ListNumber"/>
      </w:pPr>
      <w:r>
        <w:rPr>
          <w:b/>
        </w:rPr>
        <w:t>Noah Thalheimer</w:t>
      </w:r>
      <w:r>
        <w:t>, 66127 Saarbruecken,</w:t>
      </w:r>
    </w:p>
    <w:p>
      <w:pPr>
        <w:jc w:val="left"/>
      </w:pPr>
      <w:r>
        <w:t>— Beschwerdeführer —</w:t>
      </w:r>
    </w:p>
    <w:p>
      <w:pPr>
        <w:jc w:val="left"/>
      </w:pPr>
      <w:r>
        <w:rPr>
          <w:b/>
        </w:rPr>
        <w:t>Bevollmächtigter:</w:t>
      </w:r>
      <w:r>
        <w:t xml:space="preserve"> RA Dr. Roosendaal-Eichmueller, Roosendaal Schwingenstein Partner, Eisenbahnstrasse 7, 66111 Saarbruecken</w:t>
      </w:r>
    </w:p>
    <w:p/>
    <w:p>
      <w:pPr>
        <w:pStyle w:val="Heading2"/>
      </w:pPr>
      <w:r>
        <w:rPr>
          <w:rFonts w:ascii="Times New Roman" w:hAnsi="Times New Roman"/>
        </w:rPr>
        <w:t>gegen</w:t>
      </w:r>
    </w:p>
    <w:p>
      <w:pPr>
        <w:jc w:val="left"/>
      </w:pPr>
      <w:r>
        <w:t xml:space="preserve">die </w:t>
      </w:r>
      <w:r>
        <w:rPr>
          <w:b/>
        </w:rPr>
        <w:t>Verbotsverfügung des Stadtrechtsamts Saarbruecken</w:t>
      </w:r>
      <w:r>
        <w:t xml:space="preserve"> vom 12.03.2026 (Bescheid-Nr. VersB 2026-0312-001),</w:t>
      </w:r>
    </w:p>
    <w:p>
      <w:pPr>
        <w:jc w:val="left"/>
      </w:pPr>
      <w:r>
        <w:t>bestätigt durch:</w:t>
      </w:r>
    </w:p>
    <w:p>
      <w:pPr>
        <w:pStyle w:val="ListBullet"/>
      </w:pPr>
      <w:r>
        <w:t>Beschluss des VG Saarlouis vom 14.03.2026, AZ 2 K 188/26,</w:t>
      </w:r>
    </w:p>
    <w:p>
      <w:pPr>
        <w:pStyle w:val="ListBullet"/>
      </w:pPr>
      <w:r>
        <w:t>Beschluss des OVG Saarland vom 15.03.2026, AZ 1 B 14/26.</w:t>
      </w:r>
    </w:p>
    <w:p/>
    <w:p>
      <w:pPr>
        <w:pStyle w:val="Heading2"/>
      </w:pPr>
      <w:r>
        <w:rPr>
          <w:rFonts w:ascii="Times New Roman" w:hAnsi="Times New Roman"/>
        </w:rPr>
        <w:t>I. Verletztes Grundrecht</w:t>
      </w:r>
    </w:p>
    <w:p>
      <w:pPr>
        <w:jc w:val="left"/>
      </w:pPr>
      <w:r>
        <w:t xml:space="preserve">Die Beschwerdeführer sind in ihrem Grundrecht auf Versammlungsfreiheit aus </w:t>
      </w:r>
      <w:r>
        <w:rPr>
          <w:b/>
        </w:rPr>
        <w:t>Art. 8 I GG</w:t>
      </w:r>
      <w:r>
        <w:t xml:space="preserve"> verletzt.</w:t>
      </w:r>
    </w:p>
    <w:p/>
    <w:p>
      <w:pPr>
        <w:pStyle w:val="Heading2"/>
      </w:pPr>
      <w:r>
        <w:rPr>
          <w:rFonts w:ascii="Times New Roman" w:hAnsi="Times New Roman"/>
        </w:rPr>
        <w:t>II. Sachverhalt</w:t>
      </w:r>
    </w:p>
    <w:p>
      <w:pPr>
        <w:pStyle w:val="ListNumber"/>
      </w:pPr>
      <w:r>
        <w:t>Die Klimacamp Initiative Saarbruecken e.V. (BF 1) hat am 02.03.2026 beim Stadtrechtsamt Saarbruecken ein Dauerprotestcamp für den Zeitraum 16.03.-30.04.2026 auf dem Vorplatz des Saarländischen Landtags angemeldet. Ziel des Camps war der offentliche Protest gegen die Klimapolitik des Saarlandes anlasslich der laufenden Haushalts- und Energieförderungsberatungen im Landtag.</w:t>
      </w:r>
    </w:p>
    <w:p>
      <w:pPr>
        <w:pStyle w:val="ListNumber"/>
      </w:pPr>
      <w:r>
        <w:t>Das Stadtrechtsamt hat die Versammlung mit Verfügung vom 12.03.2026 vollständig untersagt (vgl. Anlage BF 1 — Verbotsverfügung).</w:t>
      </w:r>
    </w:p>
    <w:p>
      <w:pPr>
        <w:pStyle w:val="ListNumber"/>
      </w:pPr>
      <w:r>
        <w:t>Den Eilantrag der Beschwerdeführer hat das VG Saarlouis mit Beschluss vom 14.03.2026 abgelehnt (vgl. Anlage BF 2 — VG-Beschluss).</w:t>
      </w:r>
    </w:p>
    <w:p>
      <w:pPr>
        <w:pStyle w:val="ListNumber"/>
      </w:pPr>
      <w:r>
        <w:t>Die dagegen eingelegte Beschwerde hat das OVG Saarland mit Beschluss vom 15.03.2026, zugegangen um 22:14 Uhr, zurückgewiesen (vgl. Anlage BF 3 — OVG-Beschluss).</w:t>
      </w:r>
    </w:p>
    <w:p>
      <w:pPr>
        <w:pStyle w:val="ListNumber"/>
      </w:pPr>
      <w:r>
        <w:t>Mit der vorliegenden Verfassungsbeschwerde wenden sich die Beschwerdeführer gegen alle drei Entscheidungen und beantragen gleichzeitig den Erlass einer einstweiligen Anordnung nach § 32 BVerfGG.</w:t>
      </w:r>
    </w:p>
    <w:p/>
    <w:p>
      <w:pPr>
        <w:pStyle w:val="Heading2"/>
      </w:pPr>
      <w:r>
        <w:rPr>
          <w:rFonts w:ascii="Times New Roman" w:hAnsi="Times New Roman"/>
        </w:rPr>
        <w:t>III. Zur Zulassigkeit</w:t>
      </w:r>
    </w:p>
    <w:p>
      <w:pPr>
        <w:pStyle w:val="Heading3"/>
      </w:pPr>
      <w:r>
        <w:rPr>
          <w:rFonts w:ascii="Times New Roman" w:hAnsi="Times New Roman"/>
        </w:rPr>
        <w:t>III.1 Beschwerderecht</w:t>
      </w:r>
    </w:p>
    <w:p>
      <w:pPr>
        <w:jc w:val="left"/>
      </w:pPr>
      <w:r>
        <w:t>Die Beschwerdeführer sind beschwerdeberechtigte Personen i.S.v. § 90 I BVerfGG. Der Beschwerdeführer 1 ist als inländische juristische Person (e.V.) aus Art. 8 I GG i.V.m. Art. 19 III GG grundrechtsberechtigt; vgl. BVerfGE 69, 315 [349].</w:t>
      </w:r>
    </w:p>
    <w:p>
      <w:pPr>
        <w:pStyle w:val="Heading3"/>
      </w:pPr>
      <w:r>
        <w:rPr>
          <w:rFonts w:ascii="Times New Roman" w:hAnsi="Times New Roman"/>
        </w:rPr>
        <w:t>III.2 Beschwerdebefugnis</w:t>
      </w:r>
    </w:p>
    <w:p>
      <w:pPr>
        <w:jc w:val="left"/>
      </w:pPr>
      <w:r>
        <w:t>Alle Beschwerdeführer sind unmittelbar, gegenwärtig und selbst in Art. 8 I GG betroffen. Die Verbotsverfügung hindert sie konkret daran, das geplante Camp durchzuführen.</w:t>
      </w:r>
    </w:p>
    <w:p>
      <w:pPr>
        <w:pStyle w:val="Heading3"/>
      </w:pPr>
      <w:r>
        <w:rPr>
          <w:rFonts w:ascii="Times New Roman" w:hAnsi="Times New Roman"/>
        </w:rPr>
        <w:t>III.3 Rechtswegerschöpfung</w:t>
      </w:r>
    </w:p>
    <w:p>
      <w:pPr>
        <w:jc w:val="left"/>
      </w:pPr>
      <w:r>
        <w:t>Der Rechtsweg ist erschöpft (§ 90 II 1 BVerfGG). VG Saarlouis und OVG Saarland haben entschieden.</w:t>
      </w:r>
    </w:p>
    <w:p>
      <w:pPr>
        <w:pStyle w:val="Heading3"/>
      </w:pPr>
      <w:r>
        <w:rPr>
          <w:rFonts w:ascii="Times New Roman" w:hAnsi="Times New Roman"/>
        </w:rPr>
        <w:t>III.4 Frist</w:t>
      </w:r>
    </w:p>
    <w:p>
      <w:pPr>
        <w:jc w:val="left"/>
      </w:pPr>
      <w:r>
        <w:t>Die Frist des § 93 III BVerfGG (ein Monat ab Zustellung der letztinstanzlichen Entscheidung) ist gewahrt. Der OVG-Beschluss wurde am 15.03.2026 um 22:14 Uhr zugestellt; die Beschwerde wird am 16.03.2026 eingereicht (vgl. Aktenstück 10 — Fristberechnung).</w:t>
      </w:r>
    </w:p>
    <w:p>
      <w:pPr>
        <w:pStyle w:val="Heading3"/>
      </w:pPr>
      <w:r>
        <w:rPr>
          <w:rFonts w:ascii="Times New Roman" w:hAnsi="Times New Roman"/>
        </w:rPr>
        <w:t>III.5 Form (§ 23 BVerfGG)</w:t>
      </w:r>
    </w:p>
    <w:p>
      <w:pPr>
        <w:jc w:val="left"/>
      </w:pPr>
      <w:r>
        <w:t>Die Verfassungsbeschwerde ist schriftlich und begründet (§ 23 I BVerfGG). Anlagesatz wird gesondert übersandt.</w:t>
      </w:r>
    </w:p>
    <w:p/>
    <w:p>
      <w:pPr>
        <w:pStyle w:val="Heading2"/>
      </w:pPr>
      <w:r>
        <w:rPr>
          <w:rFonts w:ascii="Times New Roman" w:hAnsi="Times New Roman"/>
        </w:rPr>
        <w:t>IV. Zur Begrundetheit</w:t>
      </w:r>
    </w:p>
    <w:p>
      <w:pPr>
        <w:pStyle w:val="Heading3"/>
      </w:pPr>
      <w:r>
        <w:rPr>
          <w:rFonts w:ascii="Times New Roman" w:hAnsi="Times New Roman"/>
        </w:rPr>
        <w:t>IV.1 Schutzbereich Art. 8 I GG</w:t>
      </w:r>
    </w:p>
    <w:p>
      <w:pPr>
        <w:jc w:val="left"/>
      </w:pPr>
      <w:r>
        <w:rPr>
          <w:b/>
        </w:rPr>
        <w:t>a) Das Dauercamp ist eine Versammlung.</w:t>
      </w:r>
    </w:p>
    <w:p>
      <w:pPr>
        <w:jc w:val="left"/>
      </w:pPr>
      <w:r>
        <w:t>Das BVerfG definiert die Versammlung als eine Vereinigung mehrerer Personen zur gemeinschaftlichen, auf die Teilhabe an der öffentlichen Meinungsbildung gerichteten Eroetrterung oder Kundgebung (BVerfGE 69, 315 [342]). Das Klimacamp erfullt diese Definition:</w:t>
      </w:r>
    </w:p>
    <w:p>
      <w:pPr>
        <w:pStyle w:val="ListBullet"/>
      </w:pPr>
      <w:r>
        <w:t>Gemeinschaftlichkeit: 15 Beschwerdeführer und weitere Mitglieder handeln gemeinsam.</w:t>
      </w:r>
    </w:p>
    <w:p>
      <w:pPr>
        <w:pStyle w:val="ListBullet"/>
      </w:pPr>
      <w:r>
        <w:t>Meinungskundgabe: Der Protest richtet sich gegen konkrete Gesetzgebung im Saarländischen Landtag.</w:t>
      </w:r>
    </w:p>
    <w:p>
      <w:pPr>
        <w:pStyle w:val="ListBullet"/>
      </w:pPr>
      <w:r>
        <w:t>Öffentlichkeit: Der Landtagsvorplatz ist ein bedeutsamer politischer Kommunikationsraum.</w:t>
      </w:r>
    </w:p>
    <w:p>
      <w:pPr>
        <w:jc w:val="left"/>
      </w:pPr>
      <w:r>
        <w:t>Dass das Camp als Dauerpraesenz mit Schichtbetrieb organisiert ist, ändert daran nichts. Das BVerfG hat in BVerfGE 69, 315 [344] ausdrücklich festgestellt, dass sich die Versammlungsfreiheit auf verschiedenste Aktionsformen erstreckt. Vgl. auch BVerfG, Beschl. v. 24.10.2001 — 1 BvR 1190/90 (Sitzblockade).</w:t>
      </w:r>
    </w:p>
    <w:p>
      <w:pPr>
        <w:jc w:val="left"/>
      </w:pPr>
      <w:r>
        <w:rPr>
          <w:b/>
        </w:rPr>
        <w:t>b) Friedlichkeit</w:t>
      </w:r>
    </w:p>
    <w:p>
      <w:pPr>
        <w:jc w:val="left"/>
      </w:pPr>
      <w:r>
        <w:t>Das Camp ist als friedliche Versammlung geplant. Es gibt keine Anhaltspunkte für gewaltsamen Protest. Allein die Existenz eines spaeterenErmittlungsverfahrens gegen einzelne Mitglieder (StA 188 Js 4711/26) — die sich gegen einen campunabhaengigen Vorfall beziehen — ändert an der Friedlichkeit des geplanten Camps nichts.</w:t>
      </w:r>
    </w:p>
    <w:p>
      <w:pPr>
        <w:pStyle w:val="Heading3"/>
      </w:pPr>
      <w:r>
        <w:rPr>
          <w:rFonts w:ascii="Times New Roman" w:hAnsi="Times New Roman"/>
        </w:rPr>
        <w:t>IV.2 Eingriff</w:t>
      </w:r>
    </w:p>
    <w:p>
      <w:pPr>
        <w:jc w:val="left"/>
      </w:pPr>
      <w:r>
        <w:t>Die Verbotsverfügung stellt einen unmittelbaren Eingriff in Art. 8 I GG dar.</w:t>
      </w:r>
    </w:p>
    <w:p>
      <w:pPr>
        <w:pStyle w:val="Heading3"/>
      </w:pPr>
      <w:r>
        <w:rPr>
          <w:rFonts w:ascii="Times New Roman" w:hAnsi="Times New Roman"/>
        </w:rPr>
        <w:t>IV.3 Verfassungsrechtliche Rechtfertigung</w:t>
      </w:r>
    </w:p>
    <w:p>
      <w:pPr>
        <w:jc w:val="left"/>
      </w:pPr>
      <w:r>
        <w:rPr>
          <w:b/>
        </w:rPr>
        <w:t>a) Gesetzesvorbehalt Art. 8 II GG</w:t>
      </w:r>
    </w:p>
    <w:p>
      <w:pPr>
        <w:jc w:val="left"/>
      </w:pPr>
      <w:r>
        <w:t>Art. 8 II GG erlaubt Beschränkungen von Versammlungen unter freiem Himmel durch Gesetz. § 15 SaarlVersG und § 16 SaarlVersG sind die einschlagigen Normen.</w:t>
      </w:r>
    </w:p>
    <w:p>
      <w:pPr>
        <w:jc w:val="left"/>
      </w:pPr>
      <w:r>
        <w:rPr>
          <w:b/>
        </w:rPr>
        <w:t>b) Bestimmtheitsgrundsatz</w:t>
      </w:r>
    </w:p>
    <w:p>
      <w:pPr>
        <w:jc w:val="left"/>
      </w:pPr>
      <w:r>
        <w:t>§ 16 SaarlVersG genügt dem Bestimmtheitsgrundsatz nur dann, wenn die „Beeinträchtigung der parlamentarischen Arbeit" konkret und nicht bloss abstrakt vorliegt. Dies hat die Behörde nicht dargelegt.</w:t>
      </w:r>
    </w:p>
    <w:p>
      <w:pPr>
        <w:jc w:val="left"/>
      </w:pPr>
      <w:r>
        <w:rPr>
          <w:b/>
        </w:rPr>
        <w:t>c) Verhaeltnismaessigkeit</w:t>
      </w:r>
    </w:p>
    <w:p>
      <w:pPr>
        <w:jc w:val="left"/>
      </w:pPr>
      <w:r>
        <w:rPr>
          <w:i/>
        </w:rPr>
        <w:t>Geeignetheit:</w:t>
      </w:r>
      <w:r>
        <w:t xml:space="preserve"> Das Totalverbot ist zwar geeignet, jedwede Beeinträchtigung zu verhindern. Es genügt jedoch nicht, den geringst-möglichen Eingriff zu wählen.</w:t>
      </w:r>
    </w:p>
    <w:p>
      <w:pPr>
        <w:jc w:val="left"/>
      </w:pPr>
      <w:r>
        <w:rPr>
          <w:i/>
        </w:rPr>
        <w:t>Erforderlichkeit:</w:t>
      </w:r>
      <w:r>
        <w:t xml:space="preserve"> Mildere Mittel bestehen: (1) Räumliche Beschränkung auf einen Teilbereich des Vorplatzes; (2) Auflagen zur Lautstaerkebegrenzung in Plenarsitzungszeiten; (3) Zeitliche Begrenzung auf ausgewählte Sitzungsfreie Zeiten; (4) Abstandsgebote zum Parlamentsgebäude. Keines dieser Mittel wurde erwägen.</w:t>
      </w:r>
    </w:p>
    <w:p>
      <w:pPr>
        <w:jc w:val="left"/>
      </w:pPr>
      <w:r>
        <w:rPr>
          <w:i/>
        </w:rPr>
        <w:t>Angemessenheit:</w:t>
      </w:r>
      <w:r>
        <w:t xml:space="preserve"> In der Abwägung überwiegt die Versammlungsfreiheit. Das Klimacamp war zeitlich auf aktuelle Gesetzgebungsberatungen bezogen — geradezu das Paradebeispiel des Versammlungsschutzes als demokratisches Korrektiv (BVerfGE 69, 315 [346 f.]).</w:t>
      </w:r>
    </w:p>
    <w:p>
      <w:pPr>
        <w:pStyle w:val="Heading3"/>
      </w:pPr>
      <w:r>
        <w:rPr>
          <w:rFonts w:ascii="Times New Roman" w:hAnsi="Times New Roman"/>
        </w:rPr>
        <w:t>IV.4 Insbesondere: Bannmeilenregelung und Art. 38 GG</w:t>
      </w:r>
    </w:p>
    <w:p>
      <w:pPr>
        <w:jc w:val="left"/>
      </w:pPr>
      <w:r>
        <w:t>Die Bannmeilenregelung des § 16 SaarlVersG ist im Lichte des BVerfG-Urteils BVerfGE 104, 92 nur dann verfassungskonform anwendbar, wenn eine konkrete, nicht bloss abstrakte Beeinträchtigung der parlamentarischen Arbeit vorliegt. Diese Konkretisierung fehlt in der Verbotsverfügung.</w:t>
      </w:r>
    </w:p>
    <w:p>
      <w:pPr>
        <w:pStyle w:val="Heading3"/>
      </w:pPr>
      <w:r>
        <w:rPr>
          <w:rFonts w:ascii="Times New Roman" w:hAnsi="Times New Roman"/>
        </w:rPr>
        <w:t>IV.5 Verletzung Art. 19 IV GG</w:t>
      </w:r>
    </w:p>
    <w:p>
      <w:pPr>
        <w:jc w:val="left"/>
      </w:pPr>
      <w:r>
        <w:t>Das OVG hat die Beschwerde erst 25 Stunden nach dem VG-Beschluss und weniger als 2 Stunden vor dem geplanten Campbeginn entschieden. Effektiver Rechtsschutz (Art. 19 IV GG) war damit nicht gewährleistet.</w:t>
      </w:r>
    </w:p>
    <w:p/>
    <w:p>
      <w:pPr>
        <w:pStyle w:val="Heading2"/>
      </w:pPr>
      <w:r>
        <w:rPr>
          <w:rFonts w:ascii="Times New Roman" w:hAnsi="Times New Roman"/>
        </w:rPr>
        <w:t>V. Antrag</w:t>
      </w:r>
    </w:p>
    <w:p>
      <w:pPr>
        <w:jc w:val="left"/>
      </w:pPr>
      <w:r>
        <w:t>Die Beschwerdeführer beantragen:</w:t>
      </w:r>
    </w:p>
    <w:p>
      <w:pPr>
        <w:pStyle w:val="ListNumber"/>
      </w:pPr>
      <w:r>
        <w:t>Festzustellen, dass die Verbotsverfügung des Stadtrechtsamts Saarbruecken vom 12.03.2026 (VersB 2026-0312-001) sowie die Beschlüsse des VG Saarlouis vom 14.03.2026 (2 K 188/26) und des OVG Saarland vom 15.03.2026 (1 B 14/26) die Beschwerdeführer in ihrem Grundrecht aus Art. 8 I GG verletzen.</w:t>
      </w:r>
    </w:p>
    <w:p>
      <w:pPr>
        <w:pStyle w:val="ListNumber"/>
      </w:pPr>
      <w:r>
        <w:t>Gleichzeitig ergeht der gesonderte Eilantrag nach § 32 BVerfGG auf Erlass einer einstweiligen Anordnung, mit der das Verbot vorläufig ausser Vollzug gesetzt wird (vgl. Aktenstück 06).</w:t>
      </w:r>
    </w:p>
    <w:p/>
    <w:p>
      <w:pPr>
        <w:jc w:val="left"/>
      </w:pPr>
      <w:r>
        <w:rPr>
          <w:b/>
        </w:rPr>
        <w:t>Roosendaal Schwingenstein Partner</w:t>
      </w:r>
    </w:p>
    <w:p>
      <w:pPr>
        <w:jc w:val="left"/>
      </w:pPr>
      <w:r>
        <w:t>RA Dr. Roosendaal-Eichmueller</w:t>
      </w:r>
    </w:p>
    <w:p>
      <w:pPr>
        <w:jc w:val="left"/>
      </w:pPr>
      <w:r>
        <w:t>Saarbruecken, 16. März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AN DAS BUNDESVERFASSUNGSGERICHT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AN DAS BUNDESVERFASSUNGSGERICHT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Aktenzeichen: MR-2026-VB-0312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