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Eilantrag § 32 BVerfGG (Einstweilige Anordnung)</w:t>
      </w:r>
    </w:p>
    <w:p>
      <w:pPr>
        <w:jc w:val="left"/>
      </w:pPr>
      <w:r>
        <w:rPr>
          <w:b/>
        </w:rPr>
        <w:t>Aktenzeichen intern:</w:t>
      </w:r>
      <w:r>
        <w:t xml:space="preserve"> MR-2026-VB-0312-EILANTRAG</w:t>
      </w:r>
    </w:p>
    <w:p>
      <w:pPr>
        <w:jc w:val="left"/>
      </w:pPr>
      <w:r>
        <w:rPr>
          <w:b/>
        </w:rPr>
        <w:t>Datum:</w:t>
      </w:r>
      <w:r>
        <w:t xml:space="preserve"> 16. März 2026</w:t>
      </w:r>
    </w:p>
    <w:p>
      <w:pPr>
        <w:jc w:val="left"/>
      </w:pPr>
      <w:r>
        <w:rPr>
          <w:b/>
        </w:rPr>
        <w:t>Eingereicht:</w:t>
      </w:r>
      <w:r>
        <w:t xml:space="preserve"> Bundesverfassungsgericht, per Fax 07 21 / 91 01 - 382 und per E-Mail</w:t>
      </w:r>
    </w:p>
    <w:p/>
    <w:p>
      <w:pPr>
        <w:pStyle w:val="Heading2"/>
      </w:pPr>
      <w:r>
        <w:rPr>
          <w:rFonts w:ascii="Times New Roman" w:hAnsi="Times New Roman"/>
        </w:rPr>
        <w:t>AN DAS BUNDESVERFASSUNGSGERICHT</w:t>
      </w:r>
    </w:p>
    <w:p/>
    <w:p>
      <w:pPr>
        <w:pStyle w:val="Heading2"/>
      </w:pPr>
      <w:r>
        <w:rPr>
          <w:rFonts w:ascii="Times New Roman" w:hAnsi="Times New Roman"/>
        </w:rPr>
        <w:t>Eilantrag nach § 32 BVerfGG</w:t>
      </w:r>
    </w:p>
    <w:p>
      <w:pPr>
        <w:pStyle w:val="Heading3"/>
      </w:pPr>
      <w:r>
        <w:rPr>
          <w:rFonts w:ascii="Times New Roman" w:hAnsi="Times New Roman"/>
        </w:rPr>
        <w:t>der Beschwerdeführer 1-15</w:t>
      </w:r>
    </w:p>
    <w:p>
      <w:pPr>
        <w:jc w:val="left"/>
      </w:pPr>
      <w:r>
        <w:t>(vollständige Bezeichnung wie in Aktenstück 05)</w:t>
      </w:r>
    </w:p>
    <w:p>
      <w:pPr>
        <w:jc w:val="left"/>
      </w:pPr>
      <w:r>
        <w:t>—</w:t>
      </w:r>
    </w:p>
    <w:p>
      <w:pPr>
        <w:jc w:val="left"/>
      </w:pPr>
      <w:r>
        <w:rPr>
          <w:b/>
        </w:rPr>
        <w:t>Bevollmächtigter:</w:t>
      </w:r>
      <w:r>
        <w:t xml:space="preserve"> RA Dr. Roosendaal-Eichmueller, Roosendaal Schwingenstein Partner, Saarbruecken</w:t>
      </w:r>
    </w:p>
    <w:p/>
    <w:p>
      <w:pPr>
        <w:pStyle w:val="Heading2"/>
      </w:pPr>
      <w:r>
        <w:rPr>
          <w:rFonts w:ascii="Times New Roman" w:hAnsi="Times New Roman"/>
        </w:rPr>
        <w:t>I. Antrag</w:t>
      </w:r>
    </w:p>
    <w:p>
      <w:pPr>
        <w:jc w:val="left"/>
      </w:pPr>
      <w:r>
        <w:t xml:space="preserve">Die Beschwerdeführer beantragen den Erlass einer </w:t>
      </w:r>
      <w:r>
        <w:rPr>
          <w:b/>
        </w:rPr>
        <w:t>einstweiligen Anordnung</w:t>
      </w:r>
      <w:r>
        <w:t xml:space="preserve"> nach § 32 BVerfGG, mit der</w:t>
      </w:r>
    </w:p>
    <w:p>
      <w:pPr>
        <w:ind w:left="567"/>
      </w:pPr>
      <w:r>
        <w:rPr>
          <w:i/>
        </w:rPr>
        <w:t>die Verbotsverfügung des Stadtrechtsamts Saarbruecken vom 12.03.2026 (VersB 2026-0312-001) bis zur Entscheidung uber die Verfassungsbeschwerde 1 BvR 188/26 vorläufig ausser Vollzug gesetzt wird,</w:t>
      </w:r>
    </w:p>
    <w:p>
      <w:pPr>
        <w:jc w:val="left"/>
      </w:pPr>
      <w:r>
        <w:rPr>
          <w:b/>
        </w:rPr>
        <w:t>hilfsweise:</w:t>
      </w:r>
    </w:p>
    <w:p>
      <w:pPr>
        <w:ind w:left="567"/>
      </w:pPr>
      <w:r>
        <w:rPr>
          <w:i/>
        </w:rPr>
        <w:t>der Beschwerdegegnerin aufgegeben wird, die Errichtung eines Klimaprotestcamps auf dem Vorplatz des Saarländischen Landtags unter Auflagen (räumliche Beschränkung, Lautstaerkegrenzen zu Plenarsitzungszeiten) zu dulden.</w:t>
      </w:r>
    </w:p>
    <w:p/>
    <w:p>
      <w:pPr>
        <w:pStyle w:val="Heading2"/>
      </w:pPr>
      <w:r>
        <w:rPr>
          <w:rFonts w:ascii="Times New Roman" w:hAnsi="Times New Roman"/>
        </w:rPr>
        <w:t>II. Zulassigkeit des Eilantrags</w:t>
      </w:r>
    </w:p>
    <w:p>
      <w:pPr>
        <w:jc w:val="left"/>
      </w:pPr>
      <w:r>
        <w:t>Der Eilantrag ist nach § 32 I BVerfGG statthaft. Gemäß § 32 I BVerfGG kann das BVerfG im Streitfall einen Zustand durch einstweilige Anordnung vorläufig regeln, wenn dies zur Abwehr schwerer Nachteile, zur Verhinderung drohender Gewalt oder aus einem anderen wichtigen Grund zum gemeinen Wohl dringend geboten ist.</w:t>
      </w:r>
    </w:p>
    <w:p>
      <w:pPr>
        <w:jc w:val="left"/>
      </w:pPr>
      <w:r>
        <w:t>Eine Verfassungsbeschwerde liegt vor (BvR 188/26, eingereicht gleichzeitig). Der Eilantrag ist zulässig als akzessorisches Verfahren.</w:t>
      </w:r>
    </w:p>
    <w:p/>
    <w:p>
      <w:pPr>
        <w:pStyle w:val="Heading2"/>
      </w:pPr>
      <w:r>
        <w:rPr>
          <w:rFonts w:ascii="Times New Roman" w:hAnsi="Times New Roman"/>
        </w:rPr>
        <w:t>III. Doppelhypothese</w:t>
      </w:r>
    </w:p>
    <w:p>
      <w:pPr>
        <w:jc w:val="left"/>
      </w:pPr>
      <w:r>
        <w:t xml:space="preserve">Das BVerfG prüft nach ständiger Rechtsprechung die sog. </w:t>
      </w:r>
      <w:r>
        <w:rPr>
          <w:b/>
        </w:rPr>
        <w:t>Doppelhypothese</w:t>
      </w:r>
      <w:r>
        <w:t xml:space="preserve"> (vgl. BVerfGE 104, 23 [26 f.]; BVerfGE 112, 284 [291 f.]):</w:t>
      </w:r>
    </w:p>
    <w:p>
      <w:pPr>
        <w:pStyle w:val="Heading3"/>
      </w:pPr>
      <w:r>
        <w:rPr>
          <w:rFonts w:ascii="Times New Roman" w:hAnsi="Times New Roman"/>
        </w:rPr>
        <w:t>Hypothese 1: Einstweilige Anordnung ergeht — Verfassungsbeschwerde hat später keinen Erfolg</w:t>
      </w:r>
    </w:p>
    <w:p>
      <w:pPr>
        <w:jc w:val="left"/>
      </w:pPr>
      <w:r>
        <w:t>Das Camp würde für die Dauer des Verfahrens stattfinden. Der Parlamentsbetrieb würde — nach den Bedingungen des Versammlungskonzepts (Aktenstück 12) — allenfalls geringfügig beeinträchtigt. Das Camp wäre nach Ende des beantragten Zeitraums (30.04.2026) ohnehin beendet. Der Schaden für die Beschwerdegegnerin (Saarbruecken/Saarland) wäre gering und zeitlich begrenzt.</w:t>
      </w:r>
    </w:p>
    <w:p>
      <w:pPr>
        <w:pStyle w:val="Heading3"/>
      </w:pPr>
      <w:r>
        <w:rPr>
          <w:rFonts w:ascii="Times New Roman" w:hAnsi="Times New Roman"/>
        </w:rPr>
        <w:t>Hypothese 2: Einstweilige Anordnung ergeht nicht — Verfassungsbeschwerde hat später Erfolg</w:t>
      </w:r>
    </w:p>
    <w:p>
      <w:pPr>
        <w:jc w:val="left"/>
      </w:pPr>
      <w:r>
        <w:t>Das Camp könnte in der geplanten Form nicht stattfinden. Der politische Moment — Protest gegen laufende Haushalts- und Energieförderungsberatungen — wäre unwiederbringlich verloren. Die Versammlungsfreiheit verliert ihren Wert, wenn sie nur mit monatelanger Verzögerung durchgesetzt werden kann. Politische Kommunikation ist zeitgebunden; Grundrechtsschutz ex post ist in Versammlungssachen wertlos.</w:t>
      </w:r>
    </w:p>
    <w:p>
      <w:pPr>
        <w:jc w:val="left"/>
      </w:pPr>
      <w:r>
        <w:rPr>
          <w:b/>
        </w:rPr>
        <w:t>Ergebnis Doppelhypothese:</w:t>
      </w:r>
      <w:r>
        <w:t xml:space="preserve"> Die Folgen des Nichterlassens einer einstweiligen Anordnung (Hypothese 2) überwiegen bei weitem. Die einstweilige Anordnung ist geboten.</w:t>
      </w:r>
    </w:p>
    <w:p/>
    <w:p>
      <w:pPr>
        <w:pStyle w:val="Heading2"/>
      </w:pPr>
      <w:r>
        <w:rPr>
          <w:rFonts w:ascii="Times New Roman" w:hAnsi="Times New Roman"/>
        </w:rPr>
        <w:t>IV. Summarische Pruefung der Erfolgsaussichten</w:t>
      </w:r>
    </w:p>
    <w:p>
      <w:pPr>
        <w:pStyle w:val="Heading3"/>
      </w:pPr>
      <w:r>
        <w:rPr>
          <w:rFonts w:ascii="Times New Roman" w:hAnsi="Times New Roman"/>
        </w:rPr>
        <w:t>IV.1 Starke Erfolgsaussichten der Verfassungsbeschwerde</w:t>
      </w:r>
    </w:p>
    <w:p>
      <w:pPr>
        <w:jc w:val="left"/>
      </w:pPr>
      <w:r>
        <w:t>Die Verfassungsbeschwerde hat nach summarischer Pruefung gute Erfolgsaussichten (vgl. Aktenstück 05 im Einzelnen):</w:t>
      </w:r>
    </w:p>
    <w:p>
      <w:pPr>
        <w:pStyle w:val="ListBullet"/>
      </w:pPr>
      <w:r>
        <w:t>Der Schutzbereich des Art. 8 I GG ist eroffnet.</w:t>
      </w:r>
    </w:p>
    <w:p>
      <w:pPr>
        <w:pStyle w:val="ListBullet"/>
      </w:pPr>
      <w:r>
        <w:t>Ein Totalverbot ist nicht verhaeltnismaessig; mildere Mittel bestehen.</w:t>
      </w:r>
    </w:p>
    <w:p>
      <w:pPr>
        <w:pStyle w:val="ListBullet"/>
      </w:pPr>
      <w:r>
        <w:t>Die Bannmeilenregelung wurde ohne Nachweis konkreter Gefährdung angewandt.</w:t>
      </w:r>
    </w:p>
    <w:p>
      <w:pPr>
        <w:pStyle w:val="ListBullet"/>
      </w:pPr>
      <w:r>
        <w:t>Art. 19 IV GG wurde verletzt.</w:t>
      </w:r>
    </w:p>
    <w:p>
      <w:pPr>
        <w:pStyle w:val="Heading3"/>
      </w:pPr>
      <w:r>
        <w:rPr>
          <w:rFonts w:ascii="Times New Roman" w:hAnsi="Times New Roman"/>
        </w:rPr>
        <w:t>IV.2 Dringlichkeit</w:t>
      </w:r>
    </w:p>
    <w:p>
      <w:pPr>
        <w:jc w:val="left"/>
      </w:pPr>
      <w:r>
        <w:t>Der geplante Camtzeitraum beginnt am 16.03.2026 und endet am 30.04.2026. Ohne einstweilige Anordnung noch heute (16.03.2026) wäre der Campbeginn vollständig vereitelt. Der Grundrechtseingriff ist irreversibel.</w:t>
      </w:r>
    </w:p>
    <w:p/>
    <w:p>
      <w:pPr>
        <w:pStyle w:val="Heading2"/>
      </w:pPr>
      <w:r>
        <w:rPr>
          <w:rFonts w:ascii="Times New Roman" w:hAnsi="Times New Roman"/>
        </w:rPr>
        <w:t>V. Zur Folgenabwaegung</w:t>
      </w:r>
    </w:p>
    <w:p>
      <w:pPr>
        <w:jc w:val="left"/>
      </w:pPr>
      <w:r>
        <w:t>Vgl. ausführlich Aktenstück 15 (Folgenabwaegung und Doppelhypothese).</w:t>
      </w:r>
    </w:p>
    <w:p>
      <w:pPr>
        <w:jc w:val="left"/>
      </w:pPr>
      <w:r>
        <w:t>Zusammenfassung: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Aspekt</w:t>
            </w:r>
          </w:p>
        </w:tc>
        <w:tc>
          <w:tcPr>
            <w:tcW w:type="dxa" w:w="3024"/>
          </w:tcPr>
          <w:p>
            <w:r>
              <w:rPr>
                <w:rFonts w:ascii="Times New Roman" w:hAnsi="Times New Roman"/>
                <w:b/>
                <w:sz w:val="20"/>
              </w:rPr>
              <w:t>Bei EA-Erlass</w:t>
            </w:r>
          </w:p>
        </w:tc>
        <w:tc>
          <w:tcPr>
            <w:tcW w:type="dxa" w:w="3024"/>
          </w:tcPr>
          <w:p>
            <w:r>
              <w:rPr>
                <w:rFonts w:ascii="Times New Roman" w:hAnsi="Times New Roman"/>
                <w:b/>
                <w:sz w:val="20"/>
              </w:rPr>
              <w:t>Bei EA-Ablehnung</w:t>
            </w:r>
          </w:p>
        </w:tc>
      </w:tr>
      <w:tr>
        <w:tc>
          <w:tcPr>
            <w:tcW w:type="dxa" w:w="3024"/>
          </w:tcPr>
          <w:p>
            <w:r>
              <w:rPr>
                <w:rFonts w:ascii="Times New Roman" w:hAnsi="Times New Roman"/>
                <w:sz w:val="20"/>
              </w:rPr>
              <w:t>Parlamentsbetrieb</w:t>
            </w:r>
          </w:p>
        </w:tc>
        <w:tc>
          <w:tcPr>
            <w:tcW w:type="dxa" w:w="3024"/>
          </w:tcPr>
          <w:p>
            <w:r>
              <w:rPr>
                <w:rFonts w:ascii="Times New Roman" w:hAnsi="Times New Roman"/>
                <w:sz w:val="20"/>
              </w:rPr>
              <w:t>Geringfügige Beeinträchtigung möglich</w:t>
            </w:r>
          </w:p>
        </w:tc>
        <w:tc>
          <w:tcPr>
            <w:tcW w:type="dxa" w:w="3024"/>
          </w:tcPr>
          <w:p>
            <w:r>
              <w:rPr>
                <w:rFonts w:ascii="Times New Roman" w:hAnsi="Times New Roman"/>
                <w:sz w:val="20"/>
              </w:rPr>
              <w:t>Keine Beeinträchtigung</w:t>
            </w:r>
          </w:p>
        </w:tc>
      </w:tr>
      <w:tr>
        <w:tc>
          <w:tcPr>
            <w:tcW w:type="dxa" w:w="3024"/>
          </w:tcPr>
          <w:p>
            <w:r>
              <w:rPr>
                <w:rFonts w:ascii="Times New Roman" w:hAnsi="Times New Roman"/>
                <w:sz w:val="20"/>
              </w:rPr>
              <w:t>Versammlungsfreiheit</w:t>
            </w:r>
          </w:p>
        </w:tc>
        <w:tc>
          <w:tcPr>
            <w:tcW w:type="dxa" w:w="3024"/>
          </w:tcPr>
          <w:p>
            <w:r>
              <w:rPr>
                <w:rFonts w:ascii="Times New Roman" w:hAnsi="Times New Roman"/>
                <w:sz w:val="20"/>
              </w:rPr>
              <w:t>Vorläufig gewährleistet</w:t>
            </w:r>
          </w:p>
        </w:tc>
        <w:tc>
          <w:tcPr>
            <w:tcW w:type="dxa" w:w="3024"/>
          </w:tcPr>
          <w:p>
            <w:r>
              <w:rPr>
                <w:rFonts w:ascii="Times New Roman" w:hAnsi="Times New Roman"/>
                <w:sz w:val="20"/>
              </w:rPr>
              <w:t>Dauerhaft und irreversibel vereitelt</w:t>
            </w:r>
          </w:p>
        </w:tc>
      </w:tr>
      <w:tr>
        <w:tc>
          <w:tcPr>
            <w:tcW w:type="dxa" w:w="3024"/>
          </w:tcPr>
          <w:p>
            <w:r>
              <w:rPr>
                <w:rFonts w:ascii="Times New Roman" w:hAnsi="Times New Roman"/>
                <w:sz w:val="20"/>
              </w:rPr>
              <w:t>Offentlichkeitswirkung</w:t>
            </w:r>
          </w:p>
        </w:tc>
        <w:tc>
          <w:tcPr>
            <w:tcW w:type="dxa" w:w="3024"/>
          </w:tcPr>
          <w:p>
            <w:r>
              <w:rPr>
                <w:rFonts w:ascii="Times New Roman" w:hAnsi="Times New Roman"/>
                <w:sz w:val="20"/>
              </w:rPr>
              <w:t>Camp findet statt</w:t>
            </w:r>
          </w:p>
        </w:tc>
        <w:tc>
          <w:tcPr>
            <w:tcW w:type="dxa" w:w="3024"/>
          </w:tcPr>
          <w:p>
            <w:r>
              <w:rPr>
                <w:rFonts w:ascii="Times New Roman" w:hAnsi="Times New Roman"/>
                <w:sz w:val="20"/>
              </w:rPr>
              <w:t>Kein Camp; Protest zeitlich entwertet</w:t>
            </w:r>
          </w:p>
        </w:tc>
      </w:tr>
      <w:tr>
        <w:tc>
          <w:tcPr>
            <w:tcW w:type="dxa" w:w="3024"/>
          </w:tcPr>
          <w:p>
            <w:r>
              <w:rPr>
                <w:rFonts w:ascii="Times New Roman" w:hAnsi="Times New Roman"/>
                <w:sz w:val="20"/>
              </w:rPr>
              <w:t>Reversibilität</w:t>
            </w:r>
          </w:p>
        </w:tc>
        <w:tc>
          <w:tcPr>
            <w:tcW w:type="dxa" w:w="3024"/>
          </w:tcPr>
          <w:p>
            <w:r>
              <w:rPr>
                <w:rFonts w:ascii="Times New Roman" w:hAnsi="Times New Roman"/>
                <w:sz w:val="20"/>
              </w:rPr>
              <w:t>Vollständig reversibel bei Ablehnung HV</w:t>
            </w:r>
          </w:p>
        </w:tc>
        <w:tc>
          <w:tcPr>
            <w:tcW w:type="dxa" w:w="3024"/>
          </w:tcPr>
          <w:p>
            <w:r>
              <w:rPr>
                <w:rFonts w:ascii="Times New Roman" w:hAnsi="Times New Roman"/>
                <w:sz w:val="20"/>
              </w:rPr>
              <w:t>Irreversibel</w:t>
            </w:r>
          </w:p>
        </w:tc>
      </w:tr>
      <w:tr>
        <w:tc>
          <w:tcPr>
            <w:tcW w:type="dxa" w:w="3024"/>
          </w:tcPr>
          <w:p>
            <w:r>
              <w:rPr>
                <w:rFonts w:ascii="Times New Roman" w:hAnsi="Times New Roman"/>
                <w:sz w:val="20"/>
              </w:rPr>
              <w:t>Grundrechtliche Intensität</w:t>
            </w:r>
          </w:p>
        </w:tc>
        <w:tc>
          <w:tcPr>
            <w:tcW w:type="dxa" w:w="3024"/>
          </w:tcPr>
          <w:p>
            <w:r>
              <w:rPr>
                <w:rFonts w:ascii="Times New Roman" w:hAnsi="Times New Roman"/>
                <w:sz w:val="20"/>
              </w:rPr>
              <w:t>Art. 8 GG temporär gewährleistet</w:t>
            </w:r>
          </w:p>
        </w:tc>
        <w:tc>
          <w:tcPr>
            <w:tcW w:type="dxa" w:w="3024"/>
          </w:tcPr>
          <w:p>
            <w:r>
              <w:rPr>
                <w:rFonts w:ascii="Times New Roman" w:hAnsi="Times New Roman"/>
                <w:sz w:val="20"/>
              </w:rPr>
              <w:t>Art. 8 GG dauerhaft verletzt</w:t>
            </w:r>
          </w:p>
        </w:tc>
      </w:tr>
    </w:tbl>
    <w:p/>
    <w:p>
      <w:pPr>
        <w:pStyle w:val="Heading2"/>
      </w:pPr>
      <w:r>
        <w:rPr>
          <w:rFonts w:ascii="Times New Roman" w:hAnsi="Times New Roman"/>
        </w:rPr>
        <w:t>VI. Antrag</w:t>
      </w:r>
    </w:p>
    <w:p>
      <w:pPr>
        <w:jc w:val="left"/>
      </w:pPr>
      <w:r>
        <w:t>Es wird beantragt, die Verbotsverfügung des Stadtrechtsamts Saarbruecken vom 12.03.2026 (VersB 2026-0312-001) bis zur Entscheidung über die Verfassungsbeschwerde 1 BvR 188/26 vorläufig ausser Vollzug zu setzen.</w:t>
      </w:r>
    </w:p>
    <w:p>
      <w:pPr>
        <w:jc w:val="left"/>
      </w:pPr>
      <w:r>
        <w:t>Saarbruecken, 16. März 2026</w:t>
      </w:r>
    </w:p>
    <w:p>
      <w:pPr>
        <w:jc w:val="left"/>
      </w:pPr>
      <w:r>
        <w:rPr>
          <w:b/>
        </w:rPr>
        <w:t>RA Dr. Roosendaal-Eichmueller</w:t>
      </w:r>
    </w:p>
    <w:p>
      <w:pPr>
        <w:jc w:val="left"/>
      </w:pPr>
      <w:r>
        <w:t>Roosendaal Schwingenstein Partner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Bundesverfassungsgericht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Bundesverfassungsgericht</w:t>
    </w:r>
  </w:p>
  <w:p>
    <w:pPr>
      <w:jc w:val="left"/>
      <w:pBdr>
        <w:bottom w:val="single" w:sz="6" w:space="2" w:color="3B3F45"/>
      </w:pBdr>
    </w:pPr>
    <w:r>
      <w:rPr>
        <w:rFonts w:ascii="Times New Roman" w:hAnsi="Times New Roman"/>
        <w:color w:val="6B6B66"/>
        <w:sz w:val="16"/>
      </w:rPr>
      <w:t>per Fax 07 21 / 91 01 - 382 und per E-Mail · Aktenzeichen intern: MR-2026-VB-0312-EILANTRAG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