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Kommunikation mit dem Bundesverfassungsgericht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>
      <w:pPr>
        <w:jc w:val="left"/>
      </w:pPr>
      <w:r>
        <w:rPr>
          <w:b/>
        </w:rPr>
        <w:t>Stand:</w:t>
      </w:r>
      <w:r>
        <w:t xml:space="preserve"> März-April 2026</w:t>
      </w:r>
    </w:p>
    <w:p/>
    <w:p>
      <w:pPr>
        <w:pStyle w:val="Heading2"/>
      </w:pPr>
      <w:r>
        <w:rPr>
          <w:rFonts w:ascii="Times New Roman" w:hAnsi="Times New Roman"/>
        </w:rPr>
        <w:t>I. Kontaktdaten BVerfG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Postanschrift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Bundesverfassungsgericht, Schlossbezirk 3, 76131 Karlsruhe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 21 / 91 01 - 382 (Eingang Schriftsätze)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(Schriftsätze)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poststelle@bundesverfassungsgericht.de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Generalsekretär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h.c. Hans-Werner Morgenthaler (Stand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Pressereferat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presse@bundesverfassungsgericht.de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BvR 188/26 (vergeben nach Eingang, bestätigt 16.03.2026 um 11:23 Uhr)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Einreichung Verfassungsbeschwerde und Eilantrag</w:t>
      </w:r>
    </w:p>
    <w:p>
      <w:pPr>
        <w:jc w:val="left"/>
      </w:pPr>
      <w:r>
        <w:rPr>
          <w:b/>
        </w:rPr>
        <w:t>Datum:</w:t>
      </w:r>
      <w:r>
        <w:t xml:space="preserve"> 16. März 2026, 07:18 Uhr</w:t>
      </w:r>
    </w:p>
    <w:p>
      <w:pPr>
        <w:jc w:val="left"/>
      </w:pPr>
      <w:r>
        <w:rPr>
          <w:b/>
        </w:rPr>
        <w:t>Methode:</w:t>
      </w:r>
      <w:r>
        <w:t xml:space="preserve"> Per Fax (07 21 / 91 01 - 382) und gleichzeitig per E-Mail (poststelle@bundesverfassungsgericht.de) mit PDF-Anhang</w:t>
      </w:r>
    </w:p>
    <w:p>
      <w:pPr>
        <w:jc w:val="left"/>
      </w:pPr>
      <w:r>
        <w:rPr>
          <w:b/>
        </w:rPr>
        <w:t>Eingang bestätigt:</w:t>
      </w:r>
      <w:r>
        <w:t xml:space="preserve"> Fax-Protokoll liegt vor (Eingang 07:22 Uhr). Eingangsbestätigung per Brief vom BVerfG erhalten am 17.03.2026 (vgl. Aktenstück PDF: verfassungsbeschwerde-eingangsbestaetigung-bvg.pdf).</w:t>
      </w:r>
    </w:p>
    <w:p>
      <w:pPr>
        <w:jc w:val="left"/>
      </w:pPr>
      <w:r>
        <w:rPr>
          <w:b/>
        </w:rPr>
        <w:t>Aktenzeichen:</w:t>
      </w:r>
      <w:r>
        <w:t xml:space="preserve"> 1 BvR 188/26 (1. Senat, da Art. 8 GG betroffen; Zuständigkeit 1. Senat gemäß § 14 I BVerfGG i.V.m. Geschäftsverteilungsplan 2026).</w:t>
      </w:r>
    </w:p>
    <w:p/>
    <w:p>
      <w:pPr>
        <w:pStyle w:val="Heading2"/>
      </w:pPr>
      <w:r>
        <w:rPr>
          <w:rFonts w:ascii="Times New Roman" w:hAnsi="Times New Roman"/>
        </w:rPr>
        <w:t>III. Chronik der BVerfG-Kommunikation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16.03.2026, 07:18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Verfassungsbeschwerde + Eilantrag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Fax + E-Mail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16.03.2026, 11:23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 bestätigt Eingang, teilt AZ mit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Fax-Rückantwort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 per Brief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Formeller Brief des Generalsekretärs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Anlagesatz (Anlagen BF 1-6) nachgereicht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Fax (37 Seiten)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Pressestelle zu Medienarbeit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E-Mail (vgl. Aktenstück 14)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Pressestelle (vgl. Aktenstück eml)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inhaltliche Kommentierung des Verfahrens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BVerfG-Entscheidung über Eilantrag § 32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innerhalb weniger Tage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Formalia BVerfG-Verfahren</w:t>
      </w:r>
    </w:p>
    <w:p>
      <w:pPr>
        <w:pStyle w:val="Heading3"/>
      </w:pPr>
      <w:r>
        <w:rPr>
          <w:rFonts w:ascii="Times New Roman" w:hAnsi="Times New Roman"/>
        </w:rPr>
        <w:t>IV.1 Vorlagepflichten</w:t>
      </w:r>
    </w:p>
    <w:p>
      <w:pPr>
        <w:jc w:val="left"/>
      </w:pPr>
      <w:r>
        <w:t>Gemäß § 23 I BVerfGG sind der Verfassungsbeschwerde beizufügen:</w:t>
      </w:r>
    </w:p>
    <w:p>
      <w:pPr>
        <w:pStyle w:val="ListBullet"/>
      </w:pPr>
      <w:r>
        <w:t>Vollmacht (§ 22 I 1 BVerfGG) — liegt vor</w:t>
      </w:r>
    </w:p>
    <w:p>
      <w:pPr>
        <w:pStyle w:val="ListBullet"/>
      </w:pPr>
      <w:r>
        <w:t>Angaben zu Zulassigkeitsvoraussetzungen (§ 92 BVerfGG) — in VB-Schrift enthalten</w:t>
      </w:r>
    </w:p>
    <w:p>
      <w:pPr>
        <w:pStyle w:val="ListBullet"/>
      </w:pPr>
      <w:r>
        <w:t>Angegriffene Entscheidungen im Original oder in Kopie (§ 92 BVerfGG) — als Anlage beigefügt</w:t>
      </w:r>
    </w:p>
    <w:p>
      <w:pPr>
        <w:pStyle w:val="Heading3"/>
      </w:pPr>
      <w:r>
        <w:rPr>
          <w:rFonts w:ascii="Times New Roman" w:hAnsi="Times New Roman"/>
        </w:rPr>
        <w:t>IV.2 Aktenzeichen-Kommunikation</w:t>
      </w:r>
    </w:p>
    <w:p>
      <w:pPr>
        <w:jc w:val="left"/>
      </w:pPr>
      <w:r>
        <w:t>Das AZ 1 BvR 188/26 ist auf allen weiteren Schriftsaetzen zu verwenden. Alle Einreichungen werden darüber abrufbar sein.</w:t>
      </w:r>
    </w:p>
    <w:p>
      <w:pPr>
        <w:pStyle w:val="Heading3"/>
      </w:pPr>
      <w:r>
        <w:rPr>
          <w:rFonts w:ascii="Times New Roman" w:hAnsi="Times New Roman"/>
        </w:rPr>
        <w:t>IV.3 Schriftformerfordernis</w:t>
      </w:r>
    </w:p>
    <w:p>
      <w:pPr>
        <w:jc w:val="left"/>
      </w:pPr>
      <w:r>
        <w:t>Das BVerfG verlangt Schriftform für Verfassungsbeschwerdeschriftsätze (§ 23 I 1 BVerfGG). Fax und E-Mail-PDF genügen als vorlaueufige Einreichung; das Original muss per Post nachgesandt werden.</w:t>
      </w:r>
    </w:p>
    <w:p>
      <w:pPr>
        <w:jc w:val="left"/>
      </w:pPr>
      <w:r>
        <w:rPr>
          <w:b/>
        </w:rPr>
        <w:t>Nachsendung Original:</w:t>
      </w:r>
      <w:r>
        <w:t xml:space="preserve"> 16.03.2026 per Kurier (DHL Express) — Eingang erwartet 17.03.2026.</w:t>
      </w:r>
    </w:p>
    <w:p/>
    <w:p>
      <w:pPr>
        <w:pStyle w:val="Heading2"/>
      </w:pPr>
      <w:r>
        <w:rPr>
          <w:rFonts w:ascii="Times New Roman" w:hAnsi="Times New Roman"/>
        </w:rPr>
        <w:t>V. Interne BVerfG-Zuteilung</w:t>
      </w:r>
    </w:p>
    <w:p>
      <w:pPr>
        <w:jc w:val="left"/>
      </w:pPr>
      <w:r>
        <w:t>Gemäß Geschäftsverteilungsplan des BVerfG 2026 ist für Art. 8 GG-Beschwerden der 1. Senat zuständig. Der Eilantrag nach § 32 BVerfGG wird vom Berichterstatter (noch nicht bekannt) vorab entschieden; bei Zeitdringlichkeit kann auch die Kammervorsitzende allein entscheiden (§ 32 VII BVerfGG).</w:t>
      </w:r>
    </w:p>
    <w:p/>
    <w:p>
      <w:pPr>
        <w:pStyle w:val="Heading2"/>
      </w:pPr>
      <w:r>
        <w:rPr>
          <w:rFonts w:ascii="Times New Roman" w:hAnsi="Times New Roman"/>
        </w:rPr>
        <w:t>VI. Hinweise für weitere Kommunikation</w:t>
      </w:r>
    </w:p>
    <w:p>
      <w:pPr>
        <w:pStyle w:val="ListBullet"/>
      </w:pPr>
      <w:r>
        <w:t>Keine Direktkommunikation mit Richterinnen oder Richtern des BVerfG.</w:t>
      </w:r>
    </w:p>
    <w:p>
      <w:pPr>
        <w:pStyle w:val="ListBullet"/>
      </w:pPr>
      <w:r>
        <w:t>Alle Schriftsätze ausschliesslich an Generalsekretariat/Poststelle.</w:t>
      </w:r>
    </w:p>
    <w:p>
      <w:pPr>
        <w:pStyle w:val="ListBullet"/>
      </w:pPr>
      <w:r>
        <w:t>Telefon-Rückfragen: Nur zum Verfahrensstand zulassig (Eingang bestätigt, AZ vergeben, Berichterstatter bekannt).</w:t>
      </w:r>
    </w:p>
    <w:p>
      <w:pPr>
        <w:pStyle w:val="ListBullet"/>
      </w:pPr>
      <w:r>
        <w:t>Presseanfragen an das BVerfG: Das BVerfG kommentiert laufende Verfahren nicht; die Pressestelle kann allgemeine Verfahrensinformationen bestätigen.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Bundesverfassungsgericht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Bundesverfassungsgericht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