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Eichschein Section Control Speedcheck-XR — BAB 7 Bispingen</w:t>
      </w:r>
    </w:p>
    <w:p>
      <w:pPr>
        <w:jc w:val="left"/>
      </w:pPr>
      <w:r>
        <w:t>Eichbehörde: Landesamt für Maß und Gewicht Niedersachsen (LMG NI), Hannover</w:t>
      </w:r>
    </w:p>
    <w:p>
      <w:pPr>
        <w:jc w:val="left"/>
      </w:pPr>
      <w:r>
        <w:t>Eich-AZ: LMG-NI-2025-SC-0122</w:t>
      </w:r>
    </w:p>
    <w:p>
      <w:pPr>
        <w:jc w:val="left"/>
      </w:pPr>
      <w:r>
        <w:t>Datum der Eichung: 14.03.2025</w:t>
      </w:r>
    </w:p>
    <w:p>
      <w:pPr>
        <w:jc w:val="left"/>
      </w:pPr>
      <w:r>
        <w:t>Gültig bis: 31.03.2026</w:t>
      </w:r>
    </w:p>
    <w:p/>
    <w:p>
      <w:pPr>
        <w:pStyle w:val="Heading2"/>
      </w:pPr>
      <w:r>
        <w:rPr>
          <w:rFonts w:ascii="Times New Roman" w:hAnsi="Times New Roman"/>
        </w:rPr>
        <w:t>Gerätedaten (laut Eichschein)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Gerätetyp</w:t>
            </w:r>
          </w:p>
        </w:tc>
        <w:tc>
          <w:tcPr>
            <w:tcW w:type="dxa" w:w="4536"/>
          </w:tcPr>
          <w:p>
            <w:r>
              <w:rPr>
                <w:rFonts w:ascii="Times New Roman" w:hAnsi="Times New Roman"/>
                <w:sz w:val="20"/>
              </w:rPr>
              <w:t>Speedcheck-XR Average Speed Control System</w:t>
            </w:r>
          </w:p>
        </w:tc>
      </w:tr>
      <w:tr>
        <w:tc>
          <w:tcPr>
            <w:tcW w:type="dxa" w:w="4536"/>
          </w:tcPr>
          <w:p>
            <w:r>
              <w:rPr>
                <w:rFonts w:ascii="Times New Roman" w:hAnsi="Times New Roman"/>
                <w:sz w:val="20"/>
              </w:rPr>
              <w:t>Hersteller</w:t>
            </w:r>
          </w:p>
        </w:tc>
        <w:tc>
          <w:tcPr>
            <w:tcW w:type="dxa" w:w="4536"/>
          </w:tcPr>
          <w:p>
            <w:r>
              <w:rPr>
                <w:rFonts w:ascii="Times New Roman" w:hAnsi="Times New Roman"/>
                <w:sz w:val="20"/>
              </w:rPr>
              <w:t>Jenoptik Traffic Solutions GmbH</w:t>
            </w:r>
          </w:p>
        </w:tc>
      </w:tr>
      <w:tr>
        <w:tc>
          <w:tcPr>
            <w:tcW w:type="dxa" w:w="4536"/>
          </w:tcPr>
          <w:p>
            <w:r>
              <w:rPr>
                <w:rFonts w:ascii="Times New Roman" w:hAnsi="Times New Roman"/>
                <w:sz w:val="20"/>
              </w:rPr>
              <w:t>Systemversion</w:t>
            </w:r>
          </w:p>
        </w:tc>
        <w:tc>
          <w:tcPr>
            <w:tcW w:type="dxa" w:w="4536"/>
          </w:tcPr>
          <w:p>
            <w:r>
              <w:rPr>
                <w:rFonts w:ascii="Times New Roman" w:hAnsi="Times New Roman"/>
                <w:sz w:val="20"/>
              </w:rPr>
              <w:t>7.1.2</w:t>
            </w:r>
          </w:p>
        </w:tc>
      </w:tr>
      <w:tr>
        <w:tc>
          <w:tcPr>
            <w:tcW w:type="dxa" w:w="4536"/>
          </w:tcPr>
          <w:p>
            <w:r>
              <w:rPr>
                <w:rFonts w:ascii="Times New Roman" w:hAnsi="Times New Roman"/>
                <w:sz w:val="20"/>
              </w:rPr>
              <w:t>PTB-Zulassung</w:t>
            </w:r>
          </w:p>
        </w:tc>
        <w:tc>
          <w:tcPr>
            <w:tcW w:type="dxa" w:w="4536"/>
          </w:tcPr>
          <w:p>
            <w:r>
              <w:rPr>
                <w:rFonts w:ascii="Times New Roman" w:hAnsi="Times New Roman"/>
                <w:sz w:val="20"/>
              </w:rPr>
              <w:t>SC-XR-PTB-2024-007, gültig ab 01.07.2024</w:t>
            </w:r>
          </w:p>
        </w:tc>
      </w:tr>
      <w:tr>
        <w:tc>
          <w:tcPr>
            <w:tcW w:type="dxa" w:w="4536"/>
          </w:tcPr>
          <w:p>
            <w:r>
              <w:rPr>
                <w:rFonts w:ascii="Times New Roman" w:hAnsi="Times New Roman"/>
                <w:sz w:val="20"/>
              </w:rPr>
              <w:t>Abschnittslänge (kalibriert)</w:t>
            </w:r>
          </w:p>
        </w:tc>
        <w:tc>
          <w:tcPr>
            <w:tcW w:type="dxa" w:w="4536"/>
          </w:tcPr>
          <w:p>
            <w:r>
              <w:rPr>
                <w:rFonts w:ascii="Times New Roman" w:hAnsi="Times New Roman"/>
                <w:sz w:val="20"/>
              </w:rPr>
              <w:t>1.200 m</w:t>
            </w:r>
          </w:p>
        </w:tc>
      </w:tr>
      <w:tr>
        <w:tc>
          <w:tcPr>
            <w:tcW w:type="dxa" w:w="4536"/>
          </w:tcPr>
          <w:p>
            <w:r>
              <w:rPr>
                <w:rFonts w:ascii="Times New Roman" w:hAnsi="Times New Roman"/>
                <w:sz w:val="20"/>
              </w:rPr>
              <w:t>Standort Portal A</w:t>
            </w:r>
          </w:p>
        </w:tc>
        <w:tc>
          <w:tcPr>
            <w:tcW w:type="dxa" w:w="4536"/>
          </w:tcPr>
          <w:p>
            <w:r>
              <w:rPr>
                <w:rFonts w:ascii="Times New Roman" w:hAnsi="Times New Roman"/>
                <w:sz w:val="20"/>
              </w:rPr>
              <w:t>BAB 7 km 186,92</w:t>
            </w:r>
          </w:p>
        </w:tc>
      </w:tr>
      <w:tr>
        <w:tc>
          <w:tcPr>
            <w:tcW w:type="dxa" w:w="4536"/>
          </w:tcPr>
          <w:p>
            <w:r>
              <w:rPr>
                <w:rFonts w:ascii="Times New Roman" w:hAnsi="Times New Roman"/>
                <w:sz w:val="20"/>
              </w:rPr>
              <w:t>Standort Portal B</w:t>
            </w:r>
          </w:p>
        </w:tc>
        <w:tc>
          <w:tcPr>
            <w:tcW w:type="dxa" w:w="4536"/>
          </w:tcPr>
          <w:p>
            <w:r>
              <w:rPr>
                <w:rFonts w:ascii="Times New Roman" w:hAnsi="Times New Roman"/>
                <w:sz w:val="20"/>
              </w:rPr>
              <w:t>BAB 7 km 188,12</w:t>
            </w:r>
          </w:p>
        </w:tc>
      </w:tr>
      <w:tr>
        <w:tc>
          <w:tcPr>
            <w:tcW w:type="dxa" w:w="4536"/>
          </w:tcPr>
          <w:p>
            <w:r>
              <w:rPr>
                <w:rFonts w:ascii="Times New Roman" w:hAnsi="Times New Roman"/>
                <w:sz w:val="20"/>
              </w:rPr>
              <w:t>Betreiber</w:t>
            </w:r>
          </w:p>
        </w:tc>
        <w:tc>
          <w:tcPr>
            <w:tcW w:type="dxa" w:w="4536"/>
          </w:tcPr>
          <w:p>
            <w:r>
              <w:rPr>
                <w:rFonts w:ascii="Times New Roman" w:hAnsi="Times New Roman"/>
                <w:sz w:val="20"/>
              </w:rPr>
              <w:t>Land Niedersachsen, vertreten durch Nds. Ministerium für Inneres</w:t>
            </w:r>
          </w:p>
        </w:tc>
      </w:tr>
    </w:tbl>
    <w:p/>
    <w:p>
      <w:pPr>
        <w:pStyle w:val="Heading2"/>
      </w:pPr>
      <w:r>
        <w:rPr>
          <w:rFonts w:ascii="Times New Roman" w:hAnsi="Times New Roman"/>
        </w:rPr>
        <w:t>KRITISCHER BEFUND — Ablauf der Eichung</w:t>
      </w:r>
    </w:p>
    <w:p>
      <w:pPr>
        <w:jc w:val="left"/>
      </w:pPr>
      <w:r>
        <w:rPr>
          <w:b/>
        </w:rPr>
        <w:t>Die Eichung des Speedcheck-XR lief am 31.03.2026 ab.</w:t>
      </w:r>
    </w:p>
    <w:p>
      <w:pPr>
        <w:jc w:val="left"/>
      </w:pPr>
      <w:r>
        <w:rPr>
          <w:b/>
        </w:rPr>
        <w:t>Die Messung fand am 04.02.2026 statt</w:t>
      </w:r>
      <w:r>
        <w:t xml:space="preserve"> — also innerhalb der Gültigkeitsdauer.</w:t>
      </w:r>
    </w:p>
    <w:p>
      <w:pPr>
        <w:jc w:val="left"/>
      </w:pPr>
      <w:r>
        <w:t>Jedoch: Die PTB-Zulassung SC-XR-PTB-2024-007 gilt ab 01.07.2024. Die vorangegangene PTB-Zulassung lief am 30.06.2024 aus. Es besteht also ein potenzielles Zulassungslücke oder eine Neuzulassung, die noch nicht vollständig in den vorliegenden Akten dokumentiert ist.</w:t>
      </w:r>
    </w:p>
    <w:p/>
    <w:p>
      <w:pPr>
        <w:pStyle w:val="Heading2"/>
      </w:pPr>
      <w:r>
        <w:rPr>
          <w:rFonts w:ascii="Times New Roman" w:hAnsi="Times New Roman"/>
        </w:rPr>
        <w:t>Eichergebnis (Auszug aus Eichprotokoll)</w:t>
      </w:r>
    </w:p>
    <w:p>
      <w:pPr>
        <w:jc w:val="left"/>
      </w:pPr>
      <w:r>
        <w:t>Geprüfte Parameter:</w:t>
      </w:r>
    </w:p>
    <w:p>
      <w:pPr>
        <w:pStyle w:val="ListBullet"/>
      </w:pPr>
      <w:r>
        <w:t>Zeiterfassung (GPS-Synchronisation): Abweichung &lt; 0,005 Sekunden — innerhalb der Grenzwerte</w:t>
      </w:r>
    </w:p>
    <w:p>
      <w:pPr>
        <w:pStyle w:val="ListBullet"/>
      </w:pPr>
      <w:r>
        <w:t>ANPR-Erkennungsrate: 98,7 % (Testdurchläufe 300 Fahrzeuge, davon 4 nicht erkannt — innerhalb Grenzwert PTB &lt; 5 %)</w:t>
      </w:r>
    </w:p>
    <w:p>
      <w:pPr>
        <w:pStyle w:val="ListBullet"/>
      </w:pPr>
      <w:r>
        <w:t>Längenreferenz: GPS-kalibriert 1.200 m; Kontrolle mit Messrad: 1.199,8 m — Abweichung 0,2 m = 0,017 % — innerhalb Grenzwert 0,1 %</w:t>
      </w:r>
    </w:p>
    <w:p>
      <w:pPr>
        <w:jc w:val="left"/>
      </w:pPr>
      <w:r>
        <w:t>Ergebnis: Eichpflichtige Parameter innerhalb der Grenzwerte. Gerät geeicht.</w:t>
      </w:r>
    </w:p>
    <w:p/>
    <w:p>
      <w:pPr>
        <w:pStyle w:val="Heading2"/>
      </w:pPr>
      <w:r>
        <w:rPr>
          <w:rFonts w:ascii="Times New Roman" w:hAnsi="Times New Roman"/>
        </w:rPr>
        <w:t>Kanzleianalyse Speedcheck-XR Eichschein</w:t>
      </w:r>
    </w:p>
    <w:p>
      <w:pPr>
        <w:jc w:val="left"/>
      </w:pPr>
      <w:r>
        <w:rPr>
          <w:b/>
        </w:rPr>
        <w:t>Prüfpunkt 1 — Ablaufrisiko:</w:t>
      </w:r>
    </w:p>
    <w:p>
      <w:pPr>
        <w:jc w:val="left"/>
      </w:pPr>
      <w:r>
        <w:t>Eichung läuft ab 31.03.2026. Die Tat liegt am 04.02.2026. Innerhalb der Gültigkeitsdauer. Kein Ablaufproblem.</w:t>
      </w:r>
    </w:p>
    <w:p>
      <w:pPr>
        <w:jc w:val="left"/>
      </w:pPr>
      <w:r>
        <w:rPr>
          <w:b/>
        </w:rPr>
        <w:t>Prüfpunkt 2 — Neue PTB-Zulassung:</w:t>
      </w:r>
    </w:p>
    <w:p>
      <w:pPr>
        <w:jc w:val="left"/>
      </w:pPr>
      <w:r>
        <w:t>Die PTB-Zulassung SC-XR-PTB-2024-007 ist neu (ab 01.07.2024). Prüfung erforderlich, ob die neue Zulassung auf einem aktualisierten Gerät (neue Softwareversion?) beruht oder auf dem bisherigen Gerät aufbaut. Falls eine wesentliche Softwareänderung zwischen den Zulassungen erfolgte und keine Neueichung für die Anlage BAB 7 durchgeführt wurde, könnte dies ein Angriffspunkt sein.</w:t>
      </w:r>
    </w:p>
    <w:p>
      <w:pPr>
        <w:jc w:val="left"/>
      </w:pPr>
      <w:r>
        <w:rPr>
          <w:b/>
        </w:rPr>
        <w:t>Prüfpunkt 3 — ANPR-Erkennungsrate bei Sattelzügen:</w:t>
      </w:r>
    </w:p>
    <w:p>
      <w:pPr>
        <w:jc w:val="left"/>
      </w:pPr>
      <w:r>
        <w:t>Die Eichung bezieht sich auf 300 Testfahrzeuge (Mix). Eine separate Prüfung für Sattelzüge ist nicht dokumentiert. Bei Sattelzügen ist das Frontkennzeichen höher angebracht und der Winkel zur Kamera unterschiedlich. Eine spezifische Zuverlässigkeitsprüfung für die Fahrzeugklasse des Mandanten fehlt.</w:t>
      </w:r>
    </w:p>
    <w:p>
      <w:pPr>
        <w:jc w:val="left"/>
      </w:pPr>
      <w:r>
        <w:rPr>
          <w:b/>
        </w:rPr>
        <w:t>Prüfpunkt 4 — Toleranzabzug in PTB-Zulassung:</w:t>
      </w:r>
    </w:p>
    <w:p>
      <w:pPr>
        <w:jc w:val="left"/>
      </w:pPr>
      <w:r>
        <w:t>Die PTB-Zulassung schreibt für Section Control einen Toleranzabzug von mindestens 3 km/h vor. Die Diskussion um 3 % (proportional) vs. 3 km/h (absolut) ist bei 114 km/h rechtlich marginaler als bei höheren Geschwindigkeiten. Für das vorliegende Verfahren: Beibehaltung des 3-km/h-Abzugs ist PTB-konform.</w:t>
      </w:r>
    </w:p>
    <w:p/>
    <w:p>
      <w:pPr>
        <w:pStyle w:val="Heading2"/>
      </w:pPr>
      <w:r>
        <w:rPr>
          <w:rFonts w:ascii="Times New Roman" w:hAnsi="Times New Roman"/>
        </w:rPr>
        <w:t>Ergebnis</w:t>
      </w:r>
    </w:p>
    <w:p>
      <w:pPr>
        <w:jc w:val="left"/>
      </w:pPr>
      <w:r>
        <w:t>Die Eichung des Speedcheck-XR war zum Tatzeitpunkt gültig. Offene Fragen: Neue PTB-Zulassung, ANPR-Verhalten bei Sattelzügen. SV Pohlmann-Wittfeldt erhält Auftrag zur Prüfung.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Eichbehörde: Landesamt für Maß und Gewicht Niedersachsen (LMG NI)</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Eichbehörde: Landesamt für Maß und Gewicht Niedersachsen (LMG NI)</w:t>
    </w:r>
  </w:p>
  <w:p>
    <w:pPr>
      <w:jc w:val="left"/>
      <w:pBdr>
        <w:bottom w:val="single" w:sz="6" w:space="2" w:color="3B3F45"/>
      </w:pBdr>
    </w:pPr>
    <w:r>
      <w:rPr>
        <w:rFonts w:ascii="Times New Roman" w:hAnsi="Times New Roman"/>
        <w:color w:val="6B6B66"/>
        <w:sz w:val="16"/>
      </w:rPr>
      <w:t>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