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Beweisantrag — Einholung Sachverständigengutachten Messtechnik</w:t>
      </w:r>
    </w:p>
    <w:p>
      <w:pPr>
        <w:jc w:val="left"/>
      </w:pPr>
      <w:r>
        <w:t>Kanzlei Schwingenstein-Roosendaal Strafrechtspartner</w:t>
      </w:r>
    </w:p>
    <w:p>
      <w:pPr>
        <w:jc w:val="left"/>
      </w:pPr>
      <w:r>
        <w:t>RA Lattermann</w:t>
      </w:r>
    </w:p>
    <w:p>
      <w:pPr>
        <w:jc w:val="left"/>
      </w:pPr>
      <w:r>
        <w:t>An:</w:t>
      </w:r>
    </w:p>
    <w:p>
      <w:pPr>
        <w:jc w:val="left"/>
      </w:pPr>
      <w:r>
        <w:t>Amtsgericht Hamburg-Altona</w:t>
      </w:r>
    </w:p>
    <w:p>
      <w:pPr>
        <w:pStyle w:val="ListNumber"/>
      </w:pPr>
      <w:r>
        <w:t>Abteilung</w:t>
      </w:r>
    </w:p>
    <w:p>
      <w:pPr>
        <w:jc w:val="left"/>
      </w:pPr>
      <w:r>
        <w:t>AZ: 188 OWi 188/26</w:t>
      </w:r>
    </w:p>
    <w:p>
      <w:pPr>
        <w:jc w:val="left"/>
      </w:pPr>
      <w:r>
        <w:t>Hamburg, 05.08.2026</w:t>
      </w:r>
    </w:p>
    <w:p/>
    <w:p>
      <w:pPr>
        <w:pStyle w:val="Heading2"/>
      </w:pPr>
      <w:r>
        <w:rPr>
          <w:rFonts w:ascii="Times New Roman" w:hAnsi="Times New Roman"/>
        </w:rPr>
        <w:t>Beweisantrag gemäß § 77 OWiG i.V.m. § 244 Abs. 3, 4 StPO</w:t>
      </w:r>
    </w:p>
    <w:p>
      <w:pPr>
        <w:jc w:val="left"/>
      </w:pPr>
      <w:r>
        <w:t>In dem oben bezeichneten Verfahren stelle ich namens des Betroffenen folgenden</w:t>
      </w:r>
    </w:p>
    <w:p>
      <w:pPr>
        <w:jc w:val="left"/>
      </w:pPr>
      <w:r>
        <w:rPr>
          <w:b/>
        </w:rPr>
        <w:t>Beweisantrag:</w:t>
      </w:r>
    </w:p>
    <w:p>
      <w:pPr>
        <w:jc w:val="left"/>
      </w:pPr>
      <w:r>
        <w:t>Es wird beantragt, zum Beweis der nachstehenden Tatsachen ein Sachverständigengutachten einzuholen und den Sachverständigen Dipl.-Ing. Pohlmann-Wittfeldt (Büro für Kfz-Technik und Messtechnik, Lübeck, öffentlich bestellt und beeidigt) zu beauftragen.</w:t>
      </w:r>
    </w:p>
    <w:p/>
    <w:p>
      <w:pPr>
        <w:pStyle w:val="Heading2"/>
      </w:pPr>
      <w:r>
        <w:rPr>
          <w:rFonts w:ascii="Times New Roman" w:hAnsi="Times New Roman"/>
        </w:rPr>
        <w:t>Beweisthemen und Beweistatsachen</w:t>
      </w:r>
    </w:p>
    <w:p>
      <w:pPr>
        <w:pStyle w:val="Heading3"/>
      </w:pPr>
      <w:r>
        <w:rPr>
          <w:rFonts w:ascii="Times New Roman" w:hAnsi="Times New Roman"/>
        </w:rPr>
        <w:t>Beweisthema 1 — BAMV-Messgenauigkeit und Aufstellungskonformität</w:t>
      </w:r>
    </w:p>
    <w:p>
      <w:pPr>
        <w:jc w:val="left"/>
      </w:pPr>
      <w:r>
        <w:rPr>
          <w:b/>
        </w:rPr>
        <w:t>Beweistatsache:</w:t>
      </w:r>
      <w:r>
        <w:t xml:space="preserve"> Die BAMV-Anlage LB-7000, Seriennummer LB7-22-00447, an der BAB 7 km 187,4 war am 04.02.2026 nicht in einer der PTB-Zulassung entsprechenden Aufstellungskonfiguration betrieben. Die Neigung der Brückenanlage und/oder die Ausrichtung der Laserbarrieren wich von den in der PTB-Zulassung Nr. 49.01/22.017 vorgesehenen Parametern ab, was zu einer Verfälschung des Messergebnisses geführt hat.</w:t>
      </w:r>
    </w:p>
    <w:p>
      <w:pPr>
        <w:jc w:val="left"/>
      </w:pPr>
      <w:r>
        <w:rPr>
          <w:b/>
        </w:rPr>
        <w:t>Relevanz:</w:t>
      </w:r>
      <w:r>
        <w:t xml:space="preserve"> Liegt eine Aufstellungsabweichung vor, handelt es sich nicht mehr um ein standardisiertes Verfahren mit gesetzlich vermuteter Richtigkeit. In diesem Fall muss das Gericht alle für die Messung relevanten Parameter individuell prüfen.</w:t>
      </w:r>
    </w:p>
    <w:p>
      <w:pPr>
        <w:pStyle w:val="Heading3"/>
      </w:pPr>
      <w:r>
        <w:rPr>
          <w:rFonts w:ascii="Times New Roman" w:hAnsi="Times New Roman"/>
        </w:rPr>
        <w:t>Beweisthema 2 — Fahreridentifizierung aus Frontfoto</w:t>
      </w:r>
    </w:p>
    <w:p>
      <w:pPr>
        <w:jc w:val="left"/>
      </w:pPr>
      <w:r>
        <w:rPr>
          <w:b/>
        </w:rPr>
        <w:t>Beweistatsache:</w:t>
      </w:r>
      <w:r>
        <w:t xml:space="preserve"> Das von der Section-Control-Anlage Speedcheck-XR an Portal A (km 186,92) aufgenommene Frontfoto vom 04.02.2026, 14:21:21 Uhr, genügt technisch nicht, um den Fahrer des Sattelzuges HH-NS 3201 eindeutig als Henrik Norderhof-Tannenmoor zu identifizieren. Die Auflösung des Fotos und der Verpixelungsgrad des Gesichtsbereiches lassen eine sichere Identifizierung nicht zu.</w:t>
      </w:r>
    </w:p>
    <w:p>
      <w:pPr>
        <w:jc w:val="left"/>
      </w:pPr>
      <w:r>
        <w:rPr>
          <w:b/>
        </w:rPr>
        <w:t>Relevanz:</w:t>
      </w:r>
      <w:r>
        <w:t xml:space="preserve"> Fehlt eine valide Fahreridentifizierung, ist eine Verurteilung des Betroffenen nicht möglich (in dubio pro reo).</w:t>
      </w:r>
    </w:p>
    <w:p>
      <w:pPr>
        <w:pStyle w:val="Heading3"/>
      </w:pPr>
      <w:r>
        <w:rPr>
          <w:rFonts w:ascii="Times New Roman" w:hAnsi="Times New Roman"/>
        </w:rPr>
        <w:t>Beweisthema 3 — Toleranzgrenzen BAMV</w:t>
      </w:r>
    </w:p>
    <w:p>
      <w:pPr>
        <w:jc w:val="left"/>
      </w:pPr>
      <w:r>
        <w:rPr>
          <w:b/>
        </w:rPr>
        <w:t>Beweistatsache:</w:t>
      </w:r>
      <w:r>
        <w:t xml:space="preserve"> Das BAMV-System LB-7000 weist in der eingesetzten Konfiguration (Softwareversion 4.3.1.1180) unter realen Betriebsbedingungen (Witterung +3 Grad, feuchte Luft, 32-t-Sattelzug) eine systembedingte Abstandsmessabweichung von bis zu ± 3 m auf, die beim vorliegenden Messergebnis von 28 m messtechnisch relevant ist.</w:t>
      </w:r>
    </w:p>
    <w:p>
      <w:pPr>
        <w:jc w:val="left"/>
      </w:pPr>
      <w:r>
        <w:rPr>
          <w:b/>
        </w:rPr>
        <w:t>Relevanz:</w:t>
      </w:r>
      <w:r>
        <w:t xml:space="preserve"> Eine Toleranzkorrektur auf 31 m würde die Unterschreitung auf 19 m reduzieren; an der Tatbestandserfüllung änderte sich zwar nichts, aber an der Höhe des Vorwurfs und ggf. der Einordnung in die BKat-Tabelle.</w:t>
      </w:r>
    </w:p>
    <w:p>
      <w:pPr>
        <w:pStyle w:val="Heading3"/>
      </w:pPr>
      <w:r>
        <w:rPr>
          <w:rFonts w:ascii="Times New Roman" w:hAnsi="Times New Roman"/>
        </w:rPr>
        <w:t>Beweisthema 4 — Gleichzeitigkeit BAMV und Section Control</w:t>
      </w:r>
    </w:p>
    <w:p>
      <w:pPr>
        <w:jc w:val="left"/>
      </w:pPr>
      <w:r>
        <w:rPr>
          <w:b/>
        </w:rPr>
        <w:t>Beweistatsache:</w:t>
      </w:r>
      <w:r>
        <w:t xml:space="preserve"> Der BAMV-Messzeitpunkt (14:22:08 Uhr) fällt zeitlich und räumlich mit dem Section-Control-Abschnitt zusammen, in dem das Fahrzeug HH-NS 3201 erfasst wurde. Abstandsverstoß und Geschwindigkeitsverstoß bilden eine einheitliche Handlung im Sinne des § 19 OWiG.</w:t>
      </w:r>
    </w:p>
    <w:p/>
    <w:p>
      <w:pPr>
        <w:pStyle w:val="Heading2"/>
      </w:pPr>
      <w:r>
        <w:rPr>
          <w:rFonts w:ascii="Times New Roman" w:hAnsi="Times New Roman"/>
        </w:rPr>
        <w:t>Begründung der Antragszulässigkeit</w:t>
      </w:r>
    </w:p>
    <w:p>
      <w:pPr>
        <w:jc w:val="left"/>
      </w:pPr>
      <w:r>
        <w:t>Der Beweisantrag ist nicht auf eine ins Blaue hinein erhobene Behauptung gestützt. Dipl.-Ing. Pohlmann-Wittfeldt hat bereits auf Basis der vorliegenden Akten eine Vorprüfung vorgenommen und teilt die vorgetragenen messtechnischen Bedenken. Der Antrag ist erheblich, weil die Beweistatsachen — sollten sie sich bestätigen — die Verurteilung ausschließen oder wesentlich mildern würden.</w:t>
      </w:r>
    </w:p>
    <w:p/>
    <w:p>
      <w:pPr>
        <w:jc w:val="left"/>
      </w:pPr>
      <w:r>
        <w:t>Mit freundlichen Grüßen</w:t>
      </w:r>
    </w:p>
    <w:p>
      <w:pPr>
        <w:jc w:val="left"/>
      </w:pPr>
      <w:r>
        <w:t>RA Lattermann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Hamburg-Altona</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Hamburg-Altona</w:t>
    </w:r>
  </w:p>
  <w:p>
    <w:pPr>
      <w:jc w:val="left"/>
      <w:pBdr>
        <w:bottom w:val="single" w:sz="6" w:space="2" w:color="3B3F45"/>
      </w:pBdr>
    </w:pPr>
    <w:r>
      <w:rPr>
        <w:rFonts w:ascii="Times New Roman" w:hAnsi="Times New Roman"/>
        <w:color w:val="6B6B66"/>
        <w:sz w:val="16"/>
      </w:rPr>
      <w:t>Gericht · 188 OWi 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