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Rechtsprechungsübersicht — BAMV Brückenabstandsmessverfahren</w:t>
      </w:r>
    </w:p>
    <w:p>
      <w:pPr>
        <w:jc w:val="left"/>
      </w:pPr>
      <w:r>
        <w:t>Zusammengestellt von: RA Lattermann, Kanzlei Schwingenstein-Roosendaal</w:t>
      </w:r>
    </w:p>
    <w:p>
      <w:pPr>
        <w:jc w:val="left"/>
      </w:pPr>
      <w:r>
        <w:t>Stand: September 2026</w:t>
      </w:r>
    </w:p>
    <w:p/>
    <w:p>
      <w:pPr>
        <w:pStyle w:val="Heading2"/>
      </w:pPr>
      <w:r>
        <w:rPr>
          <w:rFonts w:ascii="Times New Roman" w:hAnsi="Times New Roman"/>
        </w:rPr>
        <w:t>Einführung</w:t>
      </w:r>
    </w:p>
    <w:p>
      <w:pPr>
        <w:jc w:val="left"/>
      </w:pPr>
      <w:r>
        <w:t>Das Brückenabstandsmessverfahren (BAMV) ist von der Rechtsprechung als standardisiertes Messverfahren im Sinne der BGH-Rechtsprechung anerkannt (BGH, Beschluss vom 19.08.1993, Az. 4 StR 627/92 — zum Begriff des standardisierten Verfahrens). Für standardisierte Verfahren gilt: Das Tatgericht muss keine vollständige messtechnische Überprüfung vornehmen, wenn der Betroffene keine konkreten Fehlerquellen benennt.</w:t>
      </w:r>
    </w:p>
    <w:p>
      <w:pPr>
        <w:jc w:val="left"/>
      </w:pPr>
      <w:r>
        <w:t>Die folgende Übersicht zeigt jedoch, dass die Gerichte in bestimmten Konstellationen den Standardisierungsschutz verweigern.</w:t>
      </w:r>
    </w:p>
    <w:p/>
    <w:p>
      <w:pPr>
        <w:pStyle w:val="Heading2"/>
      </w:pPr>
      <w:r>
        <w:rPr>
          <w:rFonts w:ascii="Times New Roman" w:hAnsi="Times New Roman"/>
        </w:rPr>
        <w:t>Leitentscheidungen</w:t>
      </w:r>
    </w:p>
    <w:p>
      <w:pPr>
        <w:pStyle w:val="Heading3"/>
      </w:pPr>
      <w:r>
        <w:rPr>
          <w:rFonts w:ascii="Times New Roman" w:hAnsi="Times New Roman"/>
        </w:rPr>
        <w:t>OLG Saarbrücken — Aufstellungskonformität</w:t>
      </w:r>
    </w:p>
    <w:p>
      <w:pPr>
        <w:jc w:val="left"/>
      </w:pPr>
      <w:r>
        <w:rPr>
          <w:b/>
        </w:rPr>
        <w:t>Gericht:</w:t>
      </w:r>
      <w:r>
        <w:t xml:space="preserve"> OLG Saarbrücken</w:t>
      </w:r>
    </w:p>
    <w:p>
      <w:pPr>
        <w:jc w:val="left"/>
      </w:pPr>
      <w:r>
        <w:rPr>
          <w:b/>
        </w:rPr>
        <w:t>Datum:</w:t>
      </w:r>
      <w:r>
        <w:t xml:space="preserve"> 24.06.2015</w:t>
      </w:r>
    </w:p>
    <w:p>
      <w:pPr>
        <w:jc w:val="left"/>
      </w:pPr>
      <w:r>
        <w:rPr>
          <w:b/>
        </w:rPr>
        <w:t>Az.:</w:t>
      </w:r>
      <w:r>
        <w:t xml:space="preserve"> Ss RS 35/2015 (2)</w:t>
      </w:r>
    </w:p>
    <w:p>
      <w:pPr>
        <w:jc w:val="left"/>
      </w:pPr>
      <w:r>
        <w:rPr>
          <w:b/>
        </w:rPr>
        <w:t>Leitsatz:</w:t>
      </w:r>
      <w:r>
        <w:t xml:space="preserve"> Das BAMV-Verfahren verliert seinen Status als standardisiertes Messverfahren, wenn die Brückenanlage nicht in Übereinstimmung mit den Anforderungen der PTB-Zulassung aufgestellt wurde. In diesem Fall ist das Tatgericht verpflichtet, ein Sachverständigengutachten zur Messung einzuholen.</w:t>
      </w:r>
    </w:p>
    <w:p>
      <w:pPr>
        <w:jc w:val="left"/>
      </w:pPr>
      <w:r>
        <w:rPr>
          <w:b/>
        </w:rPr>
        <w:t>Relevanz für vorliegenden Fall:</w:t>
      </w:r>
      <w:r>
        <w:t xml:space="preserve"> Der SV hat eine Längsneigung von 1,8 % festgestellt, die die PTB-Grenze von 1,0 % überschreitet. Das OLG Saarbrücken würde in diesem Fall die Standardisierungsvermutung verneinen.</w:t>
      </w:r>
    </w:p>
    <w:p>
      <w:pPr>
        <w:pStyle w:val="Heading3"/>
      </w:pPr>
      <w:r>
        <w:rPr>
          <w:rFonts w:ascii="Times New Roman" w:hAnsi="Times New Roman"/>
        </w:rPr>
        <w:t>OLG Hamm — Toleranzabzug BAMV</w:t>
      </w:r>
    </w:p>
    <w:p>
      <w:pPr>
        <w:jc w:val="left"/>
      </w:pPr>
      <w:r>
        <w:rPr>
          <w:b/>
        </w:rPr>
        <w:t>Gericht:</w:t>
      </w:r>
      <w:r>
        <w:t xml:space="preserve"> OLG Hamm</w:t>
      </w:r>
    </w:p>
    <w:p>
      <w:pPr>
        <w:jc w:val="left"/>
      </w:pPr>
      <w:r>
        <w:rPr>
          <w:b/>
        </w:rPr>
        <w:t>Datum:</w:t>
      </w:r>
      <w:r>
        <w:t xml:space="preserve"> 05.02.2019</w:t>
      </w:r>
    </w:p>
    <w:p>
      <w:pPr>
        <w:jc w:val="left"/>
      </w:pPr>
      <w:r>
        <w:rPr>
          <w:b/>
        </w:rPr>
        <w:t>Az.:</w:t>
      </w:r>
      <w:r>
        <w:t xml:space="preserve"> 4 RBs 7/19</w:t>
      </w:r>
    </w:p>
    <w:p>
      <w:pPr>
        <w:jc w:val="left"/>
      </w:pPr>
      <w:r>
        <w:rPr>
          <w:b/>
        </w:rPr>
        <w:t>Leitsatz:</w:t>
      </w:r>
      <w:r>
        <w:t xml:space="preserve"> Beim BAMV-Verfahren ist kein gesonderter Toleranzabzug vorgesehen; das Messgerät gilt als ausreichend kalibriert. Jedoch hat das Tatgericht die Funktionskontroll-Protokolle vollständig zu würdigen.</w:t>
      </w:r>
    </w:p>
    <w:p>
      <w:pPr>
        <w:jc w:val="left"/>
      </w:pPr>
      <w:r>
        <w:rPr>
          <w:b/>
        </w:rPr>
        <w:t>Relevanz:</w:t>
      </w:r>
      <w:r>
        <w:t xml:space="preserve"> Grundsätzlich kein Toleranzabzug; aber: Bei nachgewiesener Aufstellungsabweichung ist das Messergebnis individuell zu bewerten.</w:t>
      </w:r>
    </w:p>
    <w:p>
      <w:pPr>
        <w:pStyle w:val="Heading3"/>
      </w:pPr>
      <w:r>
        <w:rPr>
          <w:rFonts w:ascii="Times New Roman" w:hAnsi="Times New Roman"/>
        </w:rPr>
        <w:t>OLG Frankfurt — In-dubio-Grundsatz bei Fahreridentifizierung</w:t>
      </w:r>
    </w:p>
    <w:p>
      <w:pPr>
        <w:jc w:val="left"/>
      </w:pPr>
      <w:r>
        <w:rPr>
          <w:b/>
        </w:rPr>
        <w:t>Gericht:</w:t>
      </w:r>
      <w:r>
        <w:t xml:space="preserve"> OLG Frankfurt</w:t>
      </w:r>
    </w:p>
    <w:p>
      <w:pPr>
        <w:jc w:val="left"/>
      </w:pPr>
      <w:r>
        <w:rPr>
          <w:b/>
        </w:rPr>
        <w:t>Datum:</w:t>
      </w:r>
      <w:r>
        <w:t xml:space="preserve"> 12.11.2020</w:t>
      </w:r>
    </w:p>
    <w:p>
      <w:pPr>
        <w:jc w:val="left"/>
      </w:pPr>
      <w:r>
        <w:rPr>
          <w:b/>
        </w:rPr>
        <w:t>Az.:</w:t>
      </w:r>
      <w:r>
        <w:t xml:space="preserve"> 2 Ss-OWi 814/20</w:t>
      </w:r>
    </w:p>
    <w:p>
      <w:pPr>
        <w:jc w:val="left"/>
      </w:pPr>
      <w:r>
        <w:rPr>
          <w:b/>
        </w:rPr>
        <w:t>Leitsatz:</w:t>
      </w:r>
      <w:r>
        <w:t xml:space="preserve"> Ist das zur Fahreridentifizierung herangezogene Lichtbild von so geringer Qualität, dass eine sichere Identifizierung nicht möglich ist, und bestreitet der Betroffene die Fahrereigenschaft, ist der Schuldspruch aufzuheben.</w:t>
      </w:r>
    </w:p>
    <w:p>
      <w:pPr>
        <w:jc w:val="left"/>
      </w:pPr>
      <w:r>
        <w:rPr>
          <w:b/>
        </w:rPr>
        <w:t>Relevanz:</w:t>
      </w:r>
      <w:r>
        <w:t xml:space="preserve"> Das Frontfoto der Section-Control-Anlage (14x18 Pixel effektive Gesichtsfläche) ist nach dem OLG-Frankfurt-Maßstab nicht ausreichend.</w:t>
      </w:r>
    </w:p>
    <w:p>
      <w:pPr>
        <w:pStyle w:val="Heading3"/>
      </w:pPr>
      <w:r>
        <w:rPr>
          <w:rFonts w:ascii="Times New Roman" w:hAnsi="Times New Roman"/>
        </w:rPr>
        <w:t>BayObLG — Tateinheit BAMV und Streckenradar</w:t>
      </w:r>
    </w:p>
    <w:p>
      <w:pPr>
        <w:jc w:val="left"/>
      </w:pPr>
      <w:r>
        <w:rPr>
          <w:b/>
        </w:rPr>
        <w:t>Gericht:</w:t>
      </w:r>
      <w:r>
        <w:t xml:space="preserve"> Bayerisches Oberstes Landesgericht</w:t>
      </w:r>
    </w:p>
    <w:p>
      <w:pPr>
        <w:jc w:val="left"/>
      </w:pPr>
      <w:r>
        <w:rPr>
          <w:b/>
        </w:rPr>
        <w:t>Datum:</w:t>
      </w:r>
      <w:r>
        <w:t xml:space="preserve"> 27.04.2021</w:t>
      </w:r>
    </w:p>
    <w:p>
      <w:pPr>
        <w:jc w:val="left"/>
      </w:pPr>
      <w:r>
        <w:rPr>
          <w:b/>
        </w:rPr>
        <w:t>Az.:</w:t>
      </w:r>
      <w:r>
        <w:t xml:space="preserve"> 202 ObOWi 577/21</w:t>
      </w:r>
    </w:p>
    <w:p>
      <w:pPr>
        <w:jc w:val="left"/>
      </w:pPr>
      <w:r>
        <w:rPr>
          <w:b/>
        </w:rPr>
        <w:t>Leitsatz:</w:t>
      </w:r>
      <w:r>
        <w:t xml:space="preserve"> Werden Abstandsverstoß und Geschwindigkeitsüberschreitung durch zwei verschiedene Messanlagen gleichzeitig erfasst, liegt eine natürliche Handlungseinheit und damit Tateinheit im Sinne des § 19 OWiG vor, wenn beide Verstöße den identischen Fahrtabschnitt und Zeitraum betreffen.</w:t>
      </w:r>
    </w:p>
    <w:p>
      <w:pPr>
        <w:jc w:val="left"/>
      </w:pPr>
      <w:r>
        <w:rPr>
          <w:b/>
        </w:rPr>
        <w:t>Relevanz:</w:t>
      </w:r>
      <w:r>
        <w:t xml:space="preserve"> Stützt das Tateinheitsargument im vorliegenden Fall (BAMV km 187,4 innerhalb SC-Abschnitt km 186,9–188,1).</w:t>
      </w:r>
    </w:p>
    <w:p>
      <w:pPr>
        <w:pStyle w:val="Heading3"/>
      </w:pPr>
      <w:r>
        <w:rPr>
          <w:rFonts w:ascii="Times New Roman" w:hAnsi="Times New Roman"/>
        </w:rPr>
        <w:t>OLG Stuttgart — Existenzgefährdung und Fahrverbot</w:t>
      </w:r>
    </w:p>
    <w:p>
      <w:pPr>
        <w:jc w:val="left"/>
      </w:pPr>
      <w:r>
        <w:rPr>
          <w:b/>
        </w:rPr>
        <w:t>Gericht:</w:t>
      </w:r>
      <w:r>
        <w:t xml:space="preserve"> OLG Stuttgart</w:t>
      </w:r>
    </w:p>
    <w:p>
      <w:pPr>
        <w:jc w:val="left"/>
      </w:pPr>
      <w:r>
        <w:rPr>
          <w:b/>
        </w:rPr>
        <w:t>Datum:</w:t>
      </w:r>
      <w:r>
        <w:t xml:space="preserve"> 15.09.2022</w:t>
      </w:r>
    </w:p>
    <w:p>
      <w:pPr>
        <w:jc w:val="left"/>
      </w:pPr>
      <w:r>
        <w:rPr>
          <w:b/>
        </w:rPr>
        <w:t>Az.:</w:t>
      </w:r>
      <w:r>
        <w:t xml:space="preserve"> 4 Rb 31/22</w:t>
      </w:r>
    </w:p>
    <w:p>
      <w:pPr>
        <w:jc w:val="left"/>
      </w:pPr>
      <w:r>
        <w:rPr>
          <w:b/>
        </w:rPr>
        <w:t>Leitsatz:</w:t>
      </w:r>
      <w:r>
        <w:t xml:space="preserve"> Das Regelfahrverbot nach § 4 BKatV ist kein Pflichtfahrverbot; es kann entfallen, wenn der Betroffene konkret und nachprüfbar darlegt, dass das Fahrverbot für ihn oder seinen Betrieb eine außergewöhnliche Härte darstellt, die über die allgemeine Unannehmlichkeit eines Fahrverbots hinausgeht.</w:t>
      </w:r>
    </w:p>
    <w:p>
      <w:pPr>
        <w:jc w:val="left"/>
      </w:pPr>
      <w:r>
        <w:rPr>
          <w:b/>
        </w:rPr>
        <w:t>Relevanz:</w:t>
      </w:r>
      <w:r>
        <w:t xml:space="preserve"> Für die Existenzgefährdungsargumentation Norderhof Spedition GmbH maßgeblich.</w:t>
      </w:r>
    </w:p>
    <w:p/>
    <w:p>
      <w:pPr>
        <w:pStyle w:val="Heading2"/>
      </w:pPr>
      <w:r>
        <w:rPr>
          <w:rFonts w:ascii="Times New Roman" w:hAnsi="Times New Roman"/>
        </w:rPr>
        <w:t>Zusammenfassung der relevanten Verteidigungslinien aus Rechtsprechung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Linie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Stützendes 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 im vorliegenden 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BAMV Standardisierungsschutz entfällt bei Aufstellungsabweichung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Saarbrücken 2015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Stark: SV hat 1,8 % Neigung nachgewiesen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Fahreridentifizierung — Lichtbild zu unscharf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Frankfurt 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Stark: nur 14x18 Pixel Gesicht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Tateinheit BAMV + Section Control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BayObLG 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Mittel: zeitgleiche Erfassung belegt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Fahrverbot entfällt bei Existenzgefährdung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Stuttgart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Mittel: Betriebliche Unterlagen nötig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Die folgende Übersicht zeigt jedoch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Die folgende Übersicht zeigt jedoch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dass die Gerichte in bestimmten Konstellationen den Standardisierungsschutz verweigern.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