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Protokoll Hauptverhandlung — AG Hamburg-Altona 188 OWi 188/26</w:t>
      </w:r>
    </w:p>
    <w:p>
      <w:pPr>
        <w:jc w:val="left"/>
      </w:pPr>
      <w:r>
        <w:t>Datum: 24.10.2026</w:t>
      </w:r>
    </w:p>
    <w:p>
      <w:pPr>
        <w:jc w:val="left"/>
      </w:pPr>
      <w:r>
        <w:t>Uhrzeit: 09:30 Uhr – 12:47 Uhr</w:t>
      </w:r>
    </w:p>
    <w:p>
      <w:pPr>
        <w:jc w:val="left"/>
      </w:pPr>
      <w:r>
        <w:t>Gericht: Amtsgericht Hamburg-Altona, Saal 14</w:t>
      </w:r>
    </w:p>
    <w:p>
      <w:pPr>
        <w:jc w:val="left"/>
      </w:pPr>
      <w:r>
        <w:t>Richter: Richter am AG Dr. Bremsfeld-Kowalski (Ri-Nr. RI-HH-A-0714)</w:t>
      </w:r>
    </w:p>
    <w:p>
      <w:pPr>
        <w:jc w:val="left"/>
      </w:pPr>
      <w:r>
        <w:t>Protokollführerin: Urkundsbeamtin Schönthaler</w:t>
      </w:r>
    </w:p>
    <w:p>
      <w:pPr>
        <w:jc w:val="left"/>
      </w:pPr>
      <w:r>
        <w:t>Vertreter Bußgeldstelle / StA: StA Drexler-Moosberg (erschienen ab 10:15 Uhr)</w:t>
      </w:r>
    </w:p>
    <w:p/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jc w:val="left"/>
      </w:pPr>
      <w:r>
        <w:rPr>
          <w:b/>
        </w:rPr>
        <w:t>Betroffener:</w:t>
      </w:r>
      <w:r>
        <w:t xml:space="preserve"> Henrik Norderhof-Tannenmoor (anwesend)</w:t>
      </w:r>
    </w:p>
    <w:p>
      <w:pPr>
        <w:jc w:val="left"/>
      </w:pPr>
      <w:r>
        <w:rPr>
          <w:b/>
        </w:rPr>
        <w:t>Verteidiger:</w:t>
      </w:r>
      <w:r>
        <w:t xml:space="preserve"> RA Lattermann, Kanzlei Schwingenstein-Roosendaal</w:t>
      </w:r>
    </w:p>
    <w:p>
      <w:pPr>
        <w:jc w:val="left"/>
      </w:pPr>
      <w:r>
        <w:rPr>
          <w:b/>
        </w:rPr>
        <w:t>Sachverständiger:</w:t>
      </w:r>
      <w:r>
        <w:t xml:space="preserve"> Dipl.-Ing. Pohlmann-Wittfeldt (geladen; erschienen)</w:t>
      </w:r>
    </w:p>
    <w:p>
      <w:pPr>
        <w:jc w:val="left"/>
      </w:pPr>
      <w:r>
        <w:rPr>
          <w:b/>
        </w:rPr>
        <w:t>Zeuge:</w:t>
      </w:r>
      <w:r>
        <w:t xml:space="preserve"> PHK Tornau-Wiesmann (Messbeamter; geladen; erschienen)</w:t>
      </w:r>
    </w:p>
    <w:p/>
    <w:p>
      <w:pPr>
        <w:pStyle w:val="Heading2"/>
      </w:pPr>
      <w:r>
        <w:rPr>
          <w:rFonts w:ascii="Times New Roman" w:hAnsi="Times New Roman"/>
        </w:rPr>
        <w:t>Verlauf der Verhandlung</w:t>
      </w:r>
    </w:p>
    <w:p>
      <w:pPr>
        <w:pStyle w:val="Heading3"/>
      </w:pPr>
      <w:r>
        <w:rPr>
          <w:rFonts w:ascii="Times New Roman" w:hAnsi="Times New Roman"/>
        </w:rPr>
        <w:t>09:30 Uhr — Eröffnung</w:t>
      </w:r>
    </w:p>
    <w:p>
      <w:pPr>
        <w:jc w:val="left"/>
      </w:pPr>
      <w:r>
        <w:t>Richter Dr. Bremsfeld-Kowalski eröffnet die Verhandlung. AZ 188 OWi 188/26 aufgerufen. Betroffener bestätigt Personalien. Verteidiger zeigt Vollmacht. Sachverständiger wird verpflichtet.</w:t>
      </w:r>
    </w:p>
    <w:p>
      <w:pPr>
        <w:pStyle w:val="Heading3"/>
      </w:pPr>
      <w:r>
        <w:rPr>
          <w:rFonts w:ascii="Times New Roman" w:hAnsi="Times New Roman"/>
        </w:rPr>
        <w:t>09:45 Uhr — Tatvorwurf</w:t>
      </w:r>
    </w:p>
    <w:p>
      <w:pPr>
        <w:jc w:val="left"/>
      </w:pPr>
      <w:r>
        <w:t>Richter verliest den Bußgeldbescheid (Abstand 28 m, Geschwindigkeit 117 km/h / 114 km/h nach Toleranz). Betroffener erklärt: „Ich bestreite den Tatvorwurf."</w:t>
      </w:r>
    </w:p>
    <w:p>
      <w:pPr>
        <w:pStyle w:val="Heading3"/>
      </w:pPr>
      <w:r>
        <w:rPr>
          <w:rFonts w:ascii="Times New Roman" w:hAnsi="Times New Roman"/>
        </w:rPr>
        <w:t>09:55 Uhr — Zeugenbefragung PHK Tornau-Wiesmann</w:t>
      </w:r>
    </w:p>
    <w:p>
      <w:pPr>
        <w:jc w:val="left"/>
      </w:pPr>
      <w:r>
        <w:t>RA Lattermann befragt den Messbeamten:</w:t>
      </w:r>
    </w:p>
    <w:p>
      <w:pPr>
        <w:jc w:val="left"/>
      </w:pPr>
      <w:r>
        <w:rPr>
          <w:b/>
        </w:rPr>
        <w:t>Frage Lattermann:</w:t>
      </w:r>
      <w:r>
        <w:t xml:space="preserve"> Können Sie bestätigen, dass die BAMV-Anlage an dem genannten Tag in einer Längsneigung von weniger als 1,0 % betrieben wurde?</w:t>
      </w:r>
    </w:p>
    <w:p>
      <w:pPr>
        <w:jc w:val="left"/>
      </w:pPr>
      <w:r>
        <w:rPr>
          <w:b/>
        </w:rPr>
        <w:t>Antwort Tornau-Wiesmann:</w:t>
      </w:r>
      <w:r>
        <w:t xml:space="preserve"> Das kann ich so nicht bestätigen. Ich habe keine eigenen Messungen der Brückenneigung vorgenommen. Ich habe die Funktionskontrolle durchgeführt, die das vorgegebene Formular abdeckt.</w:t>
      </w:r>
    </w:p>
    <w:p>
      <w:pPr>
        <w:jc w:val="left"/>
      </w:pPr>
      <w:r>
        <w:rPr>
          <w:b/>
        </w:rPr>
        <w:t>Frage Lattermann:</w:t>
      </w:r>
      <w:r>
        <w:t xml:space="preserve"> Enthält das Funktionskontrollformular eine Abfrage zur Brückenneigung?</w:t>
      </w:r>
    </w:p>
    <w:p>
      <w:pPr>
        <w:jc w:val="left"/>
      </w:pPr>
      <w:r>
        <w:rPr>
          <w:b/>
        </w:rPr>
        <w:t>Antwort Tornau-Wiesmann:</w:t>
      </w:r>
      <w:r>
        <w:t xml:space="preserve"> Nein, das Formular fragt die Brückenneigung nicht ab.</w:t>
      </w:r>
    </w:p>
    <w:p>
      <w:pPr>
        <w:jc w:val="left"/>
      </w:pPr>
      <w:r>
        <w:rPr>
          <w:b/>
        </w:rPr>
        <w:t>Frage StA:</w:t>
      </w:r>
      <w:r>
        <w:t xml:space="preserve"> Haben Sie irgendwelche Anhaltspunkte dafür, dass die Messung fehlerhaft war?</w:t>
      </w:r>
    </w:p>
    <w:p>
      <w:pPr>
        <w:jc w:val="left"/>
      </w:pPr>
      <w:r>
        <w:rPr>
          <w:b/>
        </w:rPr>
        <w:t>Antwort Tornau-Wiesmann:</w:t>
      </w:r>
      <w:r>
        <w:t xml:space="preserve"> Nein. Das Gerät lief einwandfrei. Die Funktionskontrolle war positiv.</w:t>
      </w:r>
    </w:p>
    <w:p>
      <w:pPr>
        <w:pStyle w:val="Heading3"/>
      </w:pPr>
      <w:r>
        <w:rPr>
          <w:rFonts w:ascii="Times New Roman" w:hAnsi="Times New Roman"/>
        </w:rPr>
        <w:t>10:30 Uhr — Sachverständigenbefragung Dipl.-Ing. Pohlmann-Wittfeldt</w:t>
      </w:r>
    </w:p>
    <w:p>
      <w:pPr>
        <w:jc w:val="left"/>
      </w:pPr>
      <w:r>
        <w:t>SV erläutert sein Gutachten. Kernaussagen:</w:t>
      </w:r>
    </w:p>
    <w:p>
      <w:pPr>
        <w:pStyle w:val="ListNumber"/>
      </w:pPr>
      <w:r>
        <w:t>Längsneigung der Brücke beträgt 1,8 % — über PTB-Grenzwert von 1,0 %.</w:t>
      </w:r>
    </w:p>
    <w:p>
      <w:pPr>
        <w:pStyle w:val="ListNumber"/>
      </w:pPr>
      <w:r>
        <w:t>Bei 1,8 % Längsneigung ist eine systematische Abstandsunterschätzung von bis zu 4 m möglich.</w:t>
      </w:r>
    </w:p>
    <w:p>
      <w:pPr>
        <w:pStyle w:val="ListNumber"/>
      </w:pPr>
      <w:r>
        <w:t>Das Frontfoto ist für eine Fahreridentifizierung technisch ungeeignet (14x18 Pixel Gesichtsfläche).</w:t>
      </w:r>
    </w:p>
    <w:p>
      <w:pPr>
        <w:jc w:val="left"/>
      </w:pPr>
      <w:r>
        <w:rPr>
          <w:b/>
        </w:rPr>
        <w:t>Frage StA an SV:</w:t>
      </w:r>
      <w:r>
        <w:t xml:space="preserve"> Können Sie ausschließen, dass die Messung trotz der Neigung korrekt ist?</w:t>
      </w:r>
    </w:p>
    <w:p>
      <w:pPr>
        <w:jc w:val="left"/>
      </w:pPr>
      <w:r>
        <w:rPr>
          <w:b/>
        </w:rPr>
        <w:t>Antwort SV:</w:t>
      </w:r>
      <w:r>
        <w:t xml:space="preserve"> Ich kann das nicht ausschließen, aber ich kann auch nicht belegen, dass sie korrekt ist. Die Neigung überschreitet die zugelassenen Parameter — damit ist das Verfahren nicht mehr standardisiert.</w:t>
      </w:r>
    </w:p>
    <w:p>
      <w:pPr>
        <w:jc w:val="left"/>
      </w:pPr>
      <w:r>
        <w:rPr>
          <w:b/>
        </w:rPr>
        <w:t>Frage Richter an SV:</w:t>
      </w:r>
      <w:r>
        <w:t xml:space="preserve"> Angenommen, der tatsächliche Abstand war 32 m (Obergrenze Ihrer Fehlerberechnung) — wäre das ein Tatbestandsmerkmal?</w:t>
      </w:r>
    </w:p>
    <w:p>
      <w:pPr>
        <w:jc w:val="left"/>
      </w:pPr>
      <w:r>
        <w:rPr>
          <w:b/>
        </w:rPr>
        <w:t>Antwort SV:</w:t>
      </w:r>
      <w:r>
        <w:t xml:space="preserve"> Ja, 32 m liegt immer noch deutlich unter dem erforderlichen Mindestabstand von 50 m. Der Tatbestand wäre erfüllt, aber die Schwere des Vorwurfs wäre geringer.</w:t>
      </w:r>
    </w:p>
    <w:p>
      <w:pPr>
        <w:pStyle w:val="Heading3"/>
      </w:pPr>
      <w:r>
        <w:rPr>
          <w:rFonts w:ascii="Times New Roman" w:hAnsi="Times New Roman"/>
        </w:rPr>
        <w:t>11:15 Uhr — Plädoyers</w:t>
      </w:r>
    </w:p>
    <w:p>
      <w:pPr>
        <w:jc w:val="left"/>
      </w:pPr>
      <w:r>
        <w:rPr>
          <w:b/>
        </w:rPr>
        <w:t>RA Lattermann:</w:t>
      </w:r>
      <w:r>
        <w:t xml:space="preserve"> Freispruch beantragt wegen Fahreridentifizierung; hilfsweise Absehen vom Fahrverbot wegen Existenzgefährdung; weitere Hilfe: verzögerter Antritt. Verliest Belege zur Existenzgefährdung (Handelsregister, G+V 2025, Continental-Schreiben).</w:t>
      </w:r>
    </w:p>
    <w:p>
      <w:pPr>
        <w:jc w:val="left"/>
      </w:pPr>
      <w:r>
        <w:rPr>
          <w:b/>
        </w:rPr>
        <w:t>StA Drexler-Moosberg:</w:t>
      </w:r>
      <w:r>
        <w:t xml:space="preserve"> Verurteilung beantragt; hält Fahreridentifizierung durch Gesamtumstände für gegeben (Mandant hat selbst bestätigt, er sei gefahren); beantragt 240 EUR, 2 Punkte; bei Fahrverbot: Absehen erwägenswert, aber keine bindende Empfehlung.</w:t>
      </w:r>
    </w:p>
    <w:p>
      <w:pPr>
        <w:pStyle w:val="Heading3"/>
      </w:pPr>
      <w:r>
        <w:rPr>
          <w:rFonts w:ascii="Times New Roman" w:hAnsi="Times New Roman"/>
        </w:rPr>
        <w:t>11:50 Uhr — Beratung (Saal geräumt)</w:t>
      </w:r>
    </w:p>
    <w:p>
      <w:pPr>
        <w:pStyle w:val="Heading3"/>
      </w:pPr>
      <w:r>
        <w:rPr>
          <w:rFonts w:ascii="Times New Roman" w:hAnsi="Times New Roman"/>
        </w:rPr>
        <w:t>12:15 Uhr — Urteilsverkündung</w:t>
      </w:r>
    </w:p>
    <w:p>
      <w:pPr>
        <w:jc w:val="left"/>
      </w:pPr>
      <w:r>
        <w:t>Richter Dr. Bremsfeld-Kowalski verkündet:</w:t>
      </w:r>
    </w:p>
    <w:p>
      <w:pPr>
        <w:jc w:val="left"/>
      </w:pPr>
      <w:r>
        <w:rPr>
          <w:b/>
        </w:rPr>
        <w:t>Tenor:</w:t>
      </w:r>
    </w:p>
    <w:p>
      <w:pPr>
        <w:pStyle w:val="ListBullet"/>
      </w:pPr>
      <w:r>
        <w:t>Verurteilung wegen fahrlässiger Unterschreitung des Mindestabstands (Abstand 28 m, erforderlich 50 m)</w:t>
      </w:r>
    </w:p>
    <w:p>
      <w:pPr>
        <w:pStyle w:val="ListBullet"/>
      </w:pPr>
      <w:r>
        <w:t>Geldbuße: 240 EUR</w:t>
      </w:r>
    </w:p>
    <w:p>
      <w:pPr>
        <w:pStyle w:val="ListBullet"/>
      </w:pPr>
      <w:r>
        <w:t>Punkte FAER: 2</w:t>
      </w:r>
    </w:p>
    <w:p>
      <w:pPr>
        <w:pStyle w:val="ListBullet"/>
      </w:pPr>
      <w:r>
        <w:t xml:space="preserve">Fahrverbot: </w:t>
      </w:r>
      <w:r>
        <w:rPr>
          <w:b/>
        </w:rPr>
        <w:t>Kein Fahrverbot</w:t>
      </w:r>
      <w:r>
        <w:t xml:space="preserve"> (Absehen gemäß § 4 Abs. 4 BKatV — Existenzgefährdung anerkannt)</w:t>
      </w:r>
    </w:p>
    <w:p>
      <w:pPr>
        <w:pStyle w:val="ListBullet"/>
      </w:pPr>
      <w:r>
        <w:t>Begründung mündlich: Das Gericht folgt dem SV hinsichtlich des BAMV-Messwertes (Tatbestand erfüllt, auch bei 32 m). Fahreridentifizierung: Mandant hat eigene Fahrereigenschaft bestätigt; insoweit in dubio-Argument nicht tragend. Fahrverbot: Die vorgelegten Belege belegen eine außergewöhnliche betriebliche Abhängigkeit; Absehen gerechtfertigt.</w:t>
      </w:r>
    </w:p>
    <w:p>
      <w:pPr>
        <w:jc w:val="left"/>
      </w:pPr>
      <w:r>
        <w:rPr>
          <w:b/>
        </w:rPr>
        <w:t>Geschwindigkeitsvorwurf:</w:t>
      </w:r>
      <w:r>
        <w:t xml:space="preserve"> Das Gericht lässt diesen gemäß § 47 OWiG fallen (Tateinheit, Abstandsvorwurf als Hauptdelikt ausreicht).</w:t>
      </w:r>
    </w:p>
    <w:p/>
    <w:p>
      <w:pPr>
        <w:pStyle w:val="Heading2"/>
      </w:pPr>
      <w:r>
        <w:rPr>
          <w:rFonts w:ascii="Times New Roman" w:hAnsi="Times New Roman"/>
        </w:rPr>
        <w:t>Verfahrensausgang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Vorwurf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Abstandsverstoß (BAMV)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Verurteilung; 240 EUR; 2 Punkte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Geschwindigkeitsverstoß (SC)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Eingestellt (§ 47 OWiG)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Fahrverbot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Abgesehen (§ 4 Abs. 4 BKatV)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Fahrerbeweis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Durch Mandantenaussage selbst bestätigt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12:47 Uhr — Ende der Verhandlung</w:t>
      </w:r>
    </w:p>
    <w:p>
      <w:pPr>
        <w:jc w:val="left"/>
      </w:pPr>
      <w:r>
        <w:t>RA Lattermann erklärt auf Rückfrage des Richters: Rechtsmittelverzicht wird nach Zustellung der schriftlichen Urteilsgründe entschieden.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Hamburg-Altona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Hamburg-Altona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Saal 14 · 188 OWi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