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FAER-Löschungsfristen — Henrik Norderhof-Tannenmoor</w:t>
      </w:r>
    </w:p>
    <w:p>
      <w:pPr>
        <w:jc w:val="left"/>
      </w:pPr>
      <w:r>
        <w:t>Bearbeiter: RA Lattermann</w:t>
      </w:r>
    </w:p>
    <w:p>
      <w:pPr>
        <w:jc w:val="left"/>
      </w:pPr>
      <w:r>
        <w:t>Datum: 15.11.2026</w:t>
      </w:r>
    </w:p>
    <w:p>
      <w:pPr>
        <w:jc w:val="left"/>
      </w:pPr>
      <w:r>
        <w:t>Stand nach Urteil AG Hamburg-Altona (rechtskräftig voraussichtlich Dezember 2026)</w:t>
      </w:r>
    </w:p>
    <w:p/>
    <w:p>
      <w:pPr>
        <w:pStyle w:val="Heading2"/>
      </w:pPr>
      <w:r>
        <w:rPr>
          <w:rFonts w:ascii="Times New Roman" w:hAnsi="Times New Roman"/>
        </w:rPr>
        <w:t>Rechtsgrundlagen</w:t>
      </w:r>
    </w:p>
    <w:p>
      <w:pPr>
        <w:jc w:val="left"/>
      </w:pPr>
      <w:r>
        <w:t>§ 28 StVG (Verkehrszentralregister / FAER — Eintragungsvoraussetzungen)</w:t>
      </w:r>
    </w:p>
    <w:p>
      <w:pPr>
        <w:jc w:val="left"/>
      </w:pPr>
      <w:r>
        <w:t>§ 29 StVG (Tilgung, Löschungsfristen)</w:t>
      </w:r>
    </w:p>
    <w:p>
      <w:pPr>
        <w:jc w:val="left"/>
      </w:pPr>
      <w:r>
        <w:t>FAER-Verordnung (Fahreignungsregister-Verordnung)</w:t>
      </w:r>
    </w:p>
    <w:p/>
    <w:p>
      <w:pPr>
        <w:pStyle w:val="Heading2"/>
      </w:pPr>
      <w:r>
        <w:rPr>
          <w:rFonts w:ascii="Times New Roman" w:hAnsi="Times New Roman"/>
        </w:rPr>
        <w:t>Eintragsübersicht nach Rechtskraft neues Urteil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Tattag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Verstoß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Punkte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Rechtskraft (erwartet)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Tilgungsfrist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Löschbar ab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23.05.2024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Geschwindigkeitsüberschr. Autobahn 31 km/h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18.08.2024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2,5 Jahre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18.02.2027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04.02.2026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Abstandsverstoß § 4 StVO, LKW, BAMV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Dez. 2026 (erwartet)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2,5 Jahre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ca. Jun. 2029</w:t>
            </w:r>
          </w:p>
        </w:tc>
      </w:tr>
    </w:tbl>
    <w:p>
      <w:pPr>
        <w:jc w:val="left"/>
      </w:pPr>
      <w:r>
        <w:rPr>
          <w:b/>
        </w:rPr>
        <w:t>Gesamt nach Neueintrag:</w:t>
      </w:r>
      <w:r>
        <w:t xml:space="preserve"> 3 Punkte (1 + 2)</w:t>
      </w:r>
    </w:p>
    <w:p/>
    <w:p>
      <w:pPr>
        <w:pStyle w:val="Heading2"/>
      </w:pPr>
      <w:r>
        <w:rPr>
          <w:rFonts w:ascii="Times New Roman" w:hAnsi="Times New Roman"/>
        </w:rPr>
        <w:t>Tilgungsregelung</w:t>
      </w:r>
    </w:p>
    <w:p>
      <w:pPr>
        <w:pStyle w:val="Heading3"/>
      </w:pPr>
      <w:r>
        <w:rPr>
          <w:rFonts w:ascii="Times New Roman" w:hAnsi="Times New Roman"/>
        </w:rPr>
        <w:t>Eintrag Nr. 1 (1 Punkt, 2024)</w:t>
      </w:r>
    </w:p>
    <w:p>
      <w:pPr>
        <w:jc w:val="left"/>
      </w:pPr>
      <w:r>
        <w:t>Tilgungsfrist: 2,5 Jahre ab Rechtskraft (18.08.2024)</w:t>
      </w:r>
    </w:p>
    <w:p>
      <w:pPr>
        <w:jc w:val="left"/>
      </w:pPr>
      <w:r>
        <w:t>Löschbar: 18.02.2027</w:t>
      </w:r>
    </w:p>
    <w:p>
      <w:pPr>
        <w:jc w:val="left"/>
      </w:pPr>
      <w:r>
        <w:rPr>
          <w:b/>
        </w:rPr>
        <w:t>Tilgungsblockade:</w:t>
      </w:r>
      <w:r>
        <w:t xml:space="preserve"> Solange Eintrag Nr. 2 im FAER vorhanden ist, wird Eintrag Nr. 1 nicht vor seiner eigenen Löschfrist getilgt. Das Vorhandensein von Eintrag Nr. 2 verlängert die Frist von Eintrag Nr. 1 jedoch nicht — Eintrag Nr. 1 wird unabhängig am 18.02.2027 gelöscht.</w:t>
      </w:r>
    </w:p>
    <w:p>
      <w:pPr>
        <w:pStyle w:val="Heading3"/>
      </w:pPr>
      <w:r>
        <w:rPr>
          <w:rFonts w:ascii="Times New Roman" w:hAnsi="Times New Roman"/>
        </w:rPr>
        <w:t>Eintrag Nr. 2 (2 Punkte, 2026)</w:t>
      </w:r>
    </w:p>
    <w:p>
      <w:pPr>
        <w:jc w:val="left"/>
      </w:pPr>
      <w:r>
        <w:t>Tilgungsfrist: 2,5 Jahre ab Rechtskraft</w:t>
      </w:r>
    </w:p>
    <w:p>
      <w:pPr>
        <w:jc w:val="left"/>
      </w:pPr>
      <w:r>
        <w:t>Bei Rechtskraft Dezember 2026: Löschbar ca. Juni 2029</w:t>
      </w:r>
    </w:p>
    <w:p/>
    <w:p>
      <w:pPr>
        <w:pStyle w:val="Heading2"/>
      </w:pPr>
      <w:r>
        <w:rPr>
          <w:rFonts w:ascii="Times New Roman" w:hAnsi="Times New Roman"/>
        </w:rPr>
        <w:t>Punkteentwicklung (Prognose)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Punkte gesamt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24.02.2026 (FAER-Auskunft)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 Neueintrag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Dez.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Neueintrag Abstand-OWi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18.02.2027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Löschung Eintrag Nr. 1 (Verjährung)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Jun. 2029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Löschung Eintrag Nr.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Beratungshinweis für Mandant</w:t>
      </w:r>
    </w:p>
    <w:p>
      <w:pPr>
        <w:jc w:val="left"/>
      </w:pPr>
      <w:r>
        <w:t>Der Mandant hat nach Rechtskraft des neuen Urteils 3 Punkte im FAER. Ab 4 Punkten erfolgt eine Verwarnung (§ 4 Abs. 5 Nr. 1 StVG). Mandant liegt damit 1 Punkt unter der Verwarnschwelle.</w:t>
      </w:r>
    </w:p>
    <w:p>
      <w:pPr>
        <w:jc w:val="left"/>
      </w:pPr>
      <w:r>
        <w:t>Dringende Empfehlung: Kein weiterer Verkehrsverstoß mit Punktefolge bis mindestens Februar 2027 (Löschung Eintrag Nr. 1). Danach fällt der Punktestand auf 2.</w:t>
      </w:r>
    </w:p>
    <w:p>
      <w:pPr>
        <w:jc w:val="left"/>
      </w:pPr>
      <w:r>
        <w:t>Freiwilliger Fahreignungskurs (§ 4 Abs. 7 StVG) würde 1 Punkt abziehen, ist aber erst ab einem Punktestand von 1–5 Punkten und ohne vorherige Verwarnung möglich. Prüfung ob Mandant hier tätig werden möchte: Kurs kostet ca. 300–500 EUR, spart 1 Punkt.</w:t>
      </w:r>
    </w:p>
    <w:p/>
    <w:p>
      <w:pPr>
        <w:pStyle w:val="Heading2"/>
      </w:pPr>
      <w:r>
        <w:rPr>
          <w:rFonts w:ascii="Times New Roman" w:hAnsi="Times New Roman"/>
        </w:rPr>
        <w:t>Mitteilung an KBA</w:t>
      </w:r>
    </w:p>
    <w:p>
      <w:pPr>
        <w:jc w:val="left"/>
      </w:pPr>
      <w:r>
        <w:t>RA Lattermann übermittelt nach Rechtskraft des Urteils eine Abschrift an KBA Flensburg zur Information (obwohl dies automatisch erfolgt) und prüft den Eintrag nach Eintragungsmitteilung.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Urteil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Urteil AG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