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</w:rPr>
        <w:t>Bußgeldbescheid — Geschwindigkeitsüberschreitung Baustellenzone A45</w:t>
      </w:r>
    </w:p>
    <w:p>
      <w:pPr>
        <w:jc w:val="left"/>
      </w:pPr>
      <w:r>
        <w:rPr>
          <w:b/>
        </w:rPr>
        <w:t>Behörde:</w:t>
      </w:r>
      <w:r>
        <w:t xml:space="preserve"> Kreispolizeibehörde Märkischer Kreis — Zentrale Bußgeldstelle</w:t>
      </w:r>
    </w:p>
    <w:p>
      <w:pPr>
        <w:jc w:val="left"/>
      </w:pPr>
      <w:r>
        <w:rPr>
          <w:b/>
        </w:rPr>
        <w:t>Bescheiddatum:</w:t>
      </w:r>
      <w:r>
        <w:t xml:space="preserve"> 28.01.2026</w:t>
      </w:r>
    </w:p>
    <w:p>
      <w:pPr>
        <w:jc w:val="left"/>
      </w:pPr>
      <w:r>
        <w:rPr>
          <w:b/>
        </w:rPr>
        <w:t>Aktenzeichen:</w:t>
      </w:r>
      <w:r>
        <w:t xml:space="preserve"> 40 OWi-83 Js 7411/26 (AG Lüdenscheid)</w:t>
      </w:r>
    </w:p>
    <w:p>
      <w:pPr>
        <w:jc w:val="left"/>
      </w:pPr>
      <w:r>
        <w:rPr>
          <w:b/>
        </w:rPr>
        <w:t>Betroffener:</w:t>
      </w:r>
      <w:r>
        <w:t xml:space="preserve"> Holger Tannenbruck, Herscheider Str. 44, 58507 Lüdenscheid</w:t>
      </w:r>
    </w:p>
    <w:p/>
    <w:p>
      <w:pPr>
        <w:pStyle w:val="Heading2"/>
      </w:pPr>
      <w:r>
        <w:rPr>
          <w:rFonts w:ascii="Times New Roman" w:hAnsi="Times New Roman"/>
        </w:rPr>
        <w:t>Bescheid</w:t>
      </w:r>
    </w:p>
    <w:p>
      <w:pPr>
        <w:jc w:val="left"/>
      </w:pPr>
      <w:r>
        <w:t>Die Bußgeldbehörde wirft Ihnen folgende Ordnungswidrigkeit vor:</w:t>
      </w:r>
    </w:p>
    <w:p>
      <w:pPr>
        <w:jc w:val="left"/>
      </w:pPr>
      <w:r>
        <w:rPr>
          <w:b/>
        </w:rPr>
        <w:t>Tatzeit:</w:t>
      </w:r>
      <w:r>
        <w:t xml:space="preserve"> 12.01.2026, ca. 01:29 Uhr</w:t>
      </w:r>
    </w:p>
    <w:p>
      <w:pPr>
        <w:jc w:val="left"/>
      </w:pPr>
      <w:r>
        <w:rPr>
          <w:b/>
        </w:rPr>
        <w:t>Tatort:</w:t>
      </w:r>
      <w:r>
        <w:t xml:space="preserve"> BAB A45, Fahrtrichtung Hagen, Streckenkilometer 86,2 (Baustellenzone, Zeichen 274 StVO: Zulässige Höchstgeschwindigkeit 80 km/h)</w:t>
      </w:r>
    </w:p>
    <w:p>
      <w:pPr>
        <w:jc w:val="left"/>
      </w:pPr>
      <w:r>
        <w:rPr>
          <w:b/>
        </w:rPr>
        <w:t>Fahrzeug:</w:t>
      </w:r>
      <w:r>
        <w:t xml:space="preserve"> VW Passat Variant, MK-TK 2214</w:t>
      </w:r>
    </w:p>
    <w:p>
      <w:pPr>
        <w:jc w:val="left"/>
      </w:pPr>
      <w:r>
        <w:rPr>
          <w:b/>
        </w:rPr>
        <w:t>Vorwurf:</w:t>
      </w:r>
      <w:r>
        <w:t xml:space="preserve"> Überschreitung der zulässigen Höchstgeschwindigkeit außerhalb geschlossener Ortschaften in einer Baustellenzone um </w:t>
      </w:r>
      <w:r>
        <w:rPr>
          <w:b/>
        </w:rPr>
        <w:t>22 km/h</w:t>
      </w:r>
      <w:r>
        <w:t xml:space="preserve"> (nach Toleranzabzug 3 km/h: gemessene 102 km/h, abzüglich 3 km/h = 99 km/h, zulässig 80 km/h → Überschreitung 19 km/h nach Abzug; Hinweis: die Behörde rechnet Messwert 102 km/h − 3 km/h Toleranz = 99 km/h, Überschreitung mithin 19 km/h).</w:t>
      </w:r>
    </w:p>
    <w:p>
      <w:pPr>
        <w:jc w:val="left"/>
      </w:pPr>
      <w:r>
        <w:rPr>
          <w:b/>
        </w:rPr>
        <w:t>Rechtsgrundlage:</w:t>
      </w:r>
      <w:r>
        <w:t xml:space="preserve"> § 41 Abs. 1 StVO i.V.m. Anlage 2 (Zeichen 274), § 49 StVO, § 24 StVG</w:t>
      </w:r>
    </w:p>
    <w:p/>
    <w:p>
      <w:pPr>
        <w:pStyle w:val="Heading2"/>
      </w:pPr>
      <w:r>
        <w:rPr>
          <w:rFonts w:ascii="Times New Roman" w:hAnsi="Times New Roman"/>
        </w:rPr>
        <w:t>Sanktionsrahmen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Position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Betrag / Maßnahme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Bußgeld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70,00 EUR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Gebühr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28,50 EUR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Auslagen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3,50 EUR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Gesamtbetrag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102,00 EUR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Fahrverbot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— (bei 16–20 km/h in Baustellenzone: kein Fahrverbot, nur Bußgeld)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Punkte BZR Flensburg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1 Punkt</w:t>
            </w:r>
          </w:p>
        </w:tc>
      </w:tr>
    </w:tbl>
    <w:p>
      <w:pPr>
        <w:jc w:val="left"/>
      </w:pPr>
      <w:r>
        <w:rPr>
          <w:b/>
        </w:rPr>
        <w:t>Anmerkung:</w:t>
      </w:r>
      <w:r>
        <w:t xml:space="preserve"> Die Behörde hat die Überschreitung mit 19 km/h berechnet, was Bußgeld-Tabelle (BKatV, Stand 2021) Tatbestand 11.3.7 entspricht (Außerorts, Baustellenzone, 16–20 km/h über Limit: 70 EUR). Ein Fahrverbot entsteht erst ab 26 km/h Überschreitung außerorts.</w:t>
      </w:r>
    </w:p>
    <w:p/>
    <w:p>
      <w:pPr>
        <w:pStyle w:val="Heading2"/>
      </w:pPr>
      <w:r>
        <w:rPr>
          <w:rFonts w:ascii="Times New Roman" w:hAnsi="Times New Roman"/>
        </w:rPr>
        <w:t>Messmethode</w:t>
      </w:r>
    </w:p>
    <w:p>
      <w:pPr>
        <w:jc w:val="left"/>
      </w:pPr>
      <w:r>
        <w:t xml:space="preserve">Die Geschwindigkeitsmessung erfolgte durch eine </w:t>
      </w:r>
      <w:r>
        <w:rPr>
          <w:b/>
        </w:rPr>
        <w:t>stationäre Geschwindigkeitsmessanlage</w:t>
      </w:r>
      <w:r>
        <w:t xml:space="preserve"> (ESO ePoliceSection, Betreiber Straßen.NRW im Auftrag der Polizei NRW) bei Streckenkilometer 86,2 der A45. Das Messgerät ist gemäß Eichgesetz geeicht (Eichdatum: 15.09.2025, gültig bis 31.12.2026). Der Toleranzabzug von 3 km/h ist standardmäßig in der Auswertungssoftware berücksichtigt.</w:t>
      </w:r>
    </w:p>
    <w:p>
      <w:pPr>
        <w:jc w:val="left"/>
      </w:pPr>
      <w:r>
        <w:rPr>
          <w:b/>
        </w:rPr>
        <w:t>Messprotokoll-Referenz:</w:t>
      </w:r>
      <w:r>
        <w:t xml:space="preserve"> ESO-Protokoll 2026-01-12-002891 (Anlage zum Bescheid)</w:t>
      </w:r>
    </w:p>
    <w:p/>
    <w:p>
      <w:pPr>
        <w:pStyle w:val="Heading2"/>
      </w:pPr>
      <w:r>
        <w:rPr>
          <w:rFonts w:ascii="Times New Roman" w:hAnsi="Times New Roman"/>
        </w:rPr>
        <w:t>Bedeutung im Gesamtverfahren</w:t>
      </w:r>
    </w:p>
    <w:p>
      <w:pPr>
        <w:pStyle w:val="Heading3"/>
      </w:pPr>
      <w:r>
        <w:rPr>
          <w:rFonts w:ascii="Times New Roman" w:hAnsi="Times New Roman"/>
        </w:rPr>
        <w:t>Verhältnis zu Strafverfahren § 315c StGB</w:t>
      </w:r>
    </w:p>
    <w:p>
      <w:pPr>
        <w:jc w:val="left"/>
      </w:pPr>
      <w:r>
        <w:t xml:space="preserve">Das OWi-Verfahren wegen Geschwindigkeit läuft </w:t>
      </w:r>
      <w:r>
        <w:rPr>
          <w:b/>
        </w:rPr>
        <w:t>parallel</w:t>
      </w:r>
      <w:r>
        <w:t xml:space="preserve"> zum Strafverfahren wegen § 315c StGB. Gemäß § 21 OWiG (Vorrang der Strafverfolgung) wird das OWi-Verfahren ggf. eingestellt oder zurückgestellt, wenn die Straftat alle Elemente der Ordnungswidrigkeit umfasst. Bei § 315c StGB schließt die verurteilte Tat allerdings die Ordnungswidrigkeit Geschwindigkeit </w:t>
      </w:r>
      <w:r>
        <w:rPr>
          <w:b/>
        </w:rPr>
        <w:t>nicht automatisch ein</w:t>
      </w:r>
      <w:r>
        <w:t xml:space="preserve"> — beide Verfahren können parallel geführt werden.</w:t>
      </w:r>
    </w:p>
    <w:p>
      <w:pPr>
        <w:jc w:val="left"/>
      </w:pPr>
      <w:r>
        <w:rPr>
          <w:b/>
        </w:rPr>
        <w:t>Verfahrensrechtlicher Hinweis RA Hoffmann:</w:t>
      </w:r>
      <w:r>
        <w:t xml:space="preserve"> Der Einspruch gegen den Bußgeldbescheid ist unbedingt einzulegen (Frist: 2 Wochen ab Zustellung = </w:t>
      </w:r>
      <w:r>
        <w:rPr>
          <w:b/>
        </w:rPr>
        <w:t>11.02.2026</w:t>
      </w:r>
      <w:r>
        <w:t>), um:</w:t>
      </w:r>
    </w:p>
    <w:p>
      <w:pPr>
        <w:pStyle w:val="ListBullet"/>
      </w:pPr>
      <w:r>
        <w:t>Die Aktivlegitimation des Messgerätes zu prüfen (Eichkette, Messprotokoll)</w:t>
      </w:r>
    </w:p>
    <w:p>
      <w:pPr>
        <w:pStyle w:val="ListBullet"/>
      </w:pPr>
      <w:r>
        <w:t>Die Tatbestandsvoraussetzungen insbesondere hinsichtlich der Baustellenzone zu hinterfragen (Beschilderung ordnungsgemäß? Zeichen 274 mit Zusatzzeichen „Baustelle"?)</w:t>
      </w:r>
    </w:p>
    <w:p>
      <w:pPr>
        <w:pStyle w:val="ListBullet"/>
      </w:pPr>
      <w:r>
        <w:t>Den Einfluss auf das Strafverfahren zu koordinieren (Einspruch verhindert Rechtskraft)</w:t>
      </w:r>
    </w:p>
    <w:p/>
    <w:p>
      <w:pPr>
        <w:pStyle w:val="Heading2"/>
      </w:pPr>
      <w:r>
        <w:rPr>
          <w:rFonts w:ascii="Times New Roman" w:hAnsi="Times New Roman"/>
        </w:rPr>
        <w:t>Hinweise auf formelle Mängel des Bescheids (Prüfvermerk RA Hoffmann)</w:t>
      </w:r>
    </w:p>
    <w:p>
      <w:pPr>
        <w:pStyle w:val="ListNumber"/>
      </w:pPr>
      <w:r>
        <w:rPr>
          <w:b/>
        </w:rPr>
        <w:t>Beschilderung der Baustellenzone:</w:t>
      </w:r>
      <w:r>
        <w:t xml:space="preserve"> Der Bußgeldbescheid benennt die Beschilderung bei km 86,0 und km 86,8. Ist das Zeichen 274 auf der Mittelspur (Strecke mit drei Fahrspuren) ausreichend sichtbar und gemäß § 39 StVO aufgestellt? Überprüfung durch Ortsbesichtigung erforderlich.</w:t>
      </w:r>
    </w:p>
    <w:p>
      <w:pPr>
        <w:pStyle w:val="ListNumber"/>
      </w:pPr>
      <w:r>
        <w:rPr>
          <w:b/>
        </w:rPr>
        <w:t>Messprotokoll:</w:t>
      </w:r>
      <w:r>
        <w:t xml:space="preserve"> Liegt das vollständige Messprotokoll mit Eichschein im Bescheid bei? — </w:t>
      </w:r>
      <w:r>
        <w:rPr>
          <w:b/>
        </w:rPr>
        <w:t>Nein</w:t>
      </w:r>
      <w:r>
        <w:t xml:space="preserve"> — lediglich Referenz auf Protokoll, kein Ausdruck beigefügt. Anforderung über Akteneinsicht (§ 147 StPO analog, § 46 OWiG).</w:t>
      </w:r>
    </w:p>
    <w:p>
      <w:pPr>
        <w:pStyle w:val="ListNumber"/>
      </w:pPr>
      <w:r>
        <w:rPr>
          <w:b/>
        </w:rPr>
        <w:t>Fahreridentifikation:</w:t>
      </w:r>
      <w:r>
        <w:t xml:space="preserve"> Der Bescheid nennt als Fahrzeugführer Holger Tannenbruck. Die Feststellung der Fahreridentität aus dem Messfoto durch die Bußgeldbehörde muss geprüft werden — Messfoto aus der Akte anfordern.</w:t>
      </w:r>
    </w:p>
    <w:p>
      <w:pPr>
        <w:pStyle w:val="ListNumber"/>
      </w:pPr>
      <w:r>
        <w:rPr>
          <w:b/>
        </w:rPr>
        <w:t>Gebotenheit 80er-Zone:</w:t>
      </w:r>
      <w:r>
        <w:t xml:space="preserve"> Wurde die Baustelle zum Unfallzeitpunkt (01:30 Uhr, nachts, keine Bauarbeiter) tatsächlich aktiv betrieben? Rechtsprechung zur Geltung von Baustellenbeschilderung außerhalb von Bauarbeitszeiten ist uneinheitlich (vgl. OLG Hamm, DAR 2014, 213; OVG NRW, Urt. v. 15.03.2016, Az. 8 A 2455/15).</w:t>
      </w:r>
    </w:p>
    <w:p/>
    <w:p>
      <w:pPr>
        <w:jc w:val="left"/>
      </w:pPr>
      <w:r>
        <w:rPr>
          <w:i/>
        </w:rPr>
        <w:t>Stand: 28.01.2026 — Kanzlei Hoffmann Verkehrsrecht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417" w:right="1417" w:bottom="1417" w:left="1417" w:header="680" w:footer="56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9071" w:val="right"/>
      </w:tabs>
      <w:jc w:val="left"/>
    </w:pPr>
    <w:r>
      <w:rPr>
        <w:rFonts w:ascii="Times New Roman" w:hAnsi="Times New Roman"/>
        <w:color w:val="6B6B66"/>
        <w:sz w:val="16"/>
      </w:rPr>
    </w:r>
    <w:r>
      <w:rPr>
        <w:rFonts w:ascii="Times New Roman" w:hAnsi="Times New Roman"/>
        <w:color w:val="6B6B66"/>
        <w:sz w:val="16"/>
      </w:rPr>
      <w:t>Behörde: Kreispolizeibehörde Märkischer Kreis</w:t>
    </w:r>
    <w:r>
      <w:rPr>
        <w:rFonts w:ascii="Times New Roman" w:hAnsi="Times New Roman"/>
        <w:color w:val="6B6B66"/>
        <w:sz w:val="16"/>
      </w:rPr>
      <w:tab/>
      <w:t xml:space="preserve">Seite </w:t>
    </w:r>
    <w:r>
      <w:rPr>
        <w:rFonts w:ascii="Times New Roman" w:hAnsi="Times New Roman"/>
        <w:color w:val="6B6B66"/>
        <w:sz w:val="16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/>
    <w:r>
      <w:rPr>
        <w:rFonts w:ascii="Times New Roman" w:hAnsi="Times New Roman"/>
        <w:b/>
        <w:color w:val="3B3F45"/>
        <w:sz w:val="24"/>
      </w:rPr>
      <w:t>Behörde: Kreispolizeibehörde Märkischer Kreis</w:t>
    </w:r>
  </w:p>
  <w:p>
    <w:pPr>
      <w:jc w:val="left"/>
      <w:pBdr>
        <w:bottom w:val="single" w:sz="6" w:space="2" w:color="3B3F45"/>
      </w:pBdr>
    </w:pPr>
    <w:r>
      <w:rPr>
        <w:rFonts w:ascii="Times New Roman" w:hAnsi="Times New Roman"/>
        <w:color w:val="6B6B66"/>
        <w:sz w:val="16"/>
      </w:rPr>
      <w:t>Behörde · Aktenzeichen: 40 OWi-83 Js 7411/26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