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Klageschrift — LG Hagen, Schmerzensgeld Helga Vornberg (Entwurf)</w:t>
      </w:r>
    </w:p>
    <w:p>
      <w:pPr>
        <w:jc w:val="left"/>
      </w:pPr>
      <w:r>
        <w:rPr>
          <w:b/>
        </w:rPr>
        <w:t>Kanzlei:</w:t>
      </w:r>
      <w:r>
        <w:t xml:space="preserve"> Hoffmann Verkehrsrecht, Lüdenscheid</w:t>
      </w:r>
    </w:p>
    <w:p>
      <w:pPr>
        <w:jc w:val="left"/>
      </w:pPr>
      <w:r>
        <w:rPr>
          <w:b/>
        </w:rPr>
        <w:t>Status:</w:t>
      </w:r>
      <w:r>
        <w:t xml:space="preserve"> ENTWURF — nicht eingereicht</w:t>
      </w:r>
    </w:p>
    <w:p>
      <w:pPr>
        <w:jc w:val="left"/>
      </w:pPr>
      <w:r>
        <w:rPr>
          <w:b/>
        </w:rPr>
        <w:t>Erstellt:</w:t>
      </w:r>
      <w:r>
        <w:t xml:space="preserve"> 15.03.2026</w:t>
      </w:r>
    </w:p>
    <w:p>
      <w:pPr>
        <w:jc w:val="left"/>
      </w:pPr>
      <w:r>
        <w:rPr>
          <w:b/>
        </w:rPr>
        <w:t>Verfahrenshinweis:</w:t>
      </w:r>
      <w:r>
        <w:t xml:space="preserve"> Frau Vornberg wird durch RA'in Claudia Schuster, Lüdenscheid, vertreten. Diese Klageschrift dient der internen Vorbereitung zur Abwehr bzw. Koordination der gegnerischen Klage.</w:t>
      </w:r>
    </w:p>
    <w:p/>
    <w:p>
      <w:pPr>
        <w:jc w:val="left"/>
      </w:pPr>
      <w:r>
        <w:rPr>
          <w:b/>
        </w:rPr>
        <w:t>An das</w:t>
      </w:r>
    </w:p>
    <w:p>
      <w:pPr>
        <w:jc w:val="left"/>
      </w:pPr>
      <w:r>
        <w:rPr>
          <w:b/>
        </w:rPr>
        <w:t>Landgericht Hagen</w:t>
      </w:r>
    </w:p>
    <w:p>
      <w:pPr>
        <w:jc w:val="left"/>
      </w:pPr>
      <w:r>
        <w:rPr>
          <w:b/>
        </w:rPr>
        <w:t>— Zivilkammer —</w:t>
      </w:r>
    </w:p>
    <w:p>
      <w:pPr>
        <w:jc w:val="left"/>
      </w:pPr>
      <w:r>
        <w:t>Heinitzstraße 42</w:t>
      </w:r>
    </w:p>
    <w:p>
      <w:pPr>
        <w:jc w:val="left"/>
      </w:pPr>
      <w:r>
        <w:t>58097 Hagen</w:t>
      </w:r>
    </w:p>
    <w:p>
      <w:pPr>
        <w:jc w:val="left"/>
      </w:pPr>
      <w:r>
        <w:t>Lüdenscheid, 15. März 2026</w:t>
      </w:r>
    </w:p>
    <w:p/>
    <w:p>
      <w:pPr>
        <w:pStyle w:val="Heading2"/>
      </w:pPr>
      <w:r>
        <w:rPr>
          <w:rFonts w:ascii="Times New Roman" w:hAnsi="Times New Roman"/>
        </w:rPr>
        <w:t>Klageschrift (Entwurf zum Gegner-Verfahren)</w:t>
      </w:r>
    </w:p>
    <w:p>
      <w:pPr>
        <w:jc w:val="left"/>
      </w:pPr>
      <w:r>
        <w:rPr>
          <w:b/>
        </w:rPr>
        <w:t>Klägerin:</w:t>
      </w:r>
      <w:r>
        <w:t xml:space="preserve"> Helga Vornberg, geb. 29.05.1951, Brückenstraße 7, 58507 Lüdenscheid</w:t>
      </w:r>
    </w:p>
    <w:p>
      <w:pPr>
        <w:jc w:val="left"/>
      </w:pPr>
      <w:r>
        <w:t>(Prozessbevollmächtigte: RA'in Claudia Schuster, Lüdenscheid)</w:t>
      </w:r>
    </w:p>
    <w:p>
      <w:pPr>
        <w:jc w:val="left"/>
      </w:pPr>
      <w:r>
        <w:rPr>
          <w:b/>
        </w:rPr>
        <w:t>Beklagte 1:</w:t>
      </w:r>
      <w:r>
        <w:t xml:space="preserve"> HUK-Coburg Allgemeine Versicherungs-AG, Bahnhofsplatz 1, 96444 Coburg</w:t>
      </w:r>
    </w:p>
    <w:p>
      <w:pPr>
        <w:jc w:val="left"/>
      </w:pPr>
      <w:r>
        <w:rPr>
          <w:b/>
        </w:rPr>
        <w:t>Beklagter 2:</w:t>
      </w:r>
      <w:r>
        <w:t xml:space="preserve"> Holger Tannenbruck, Herscheider Str. 44, 58507 Lüdenscheid</w:t>
      </w:r>
    </w:p>
    <w:p>
      <w:pPr>
        <w:jc w:val="left"/>
      </w:pPr>
      <w:r>
        <w:t>(RA Sebastian Hoffmann übernimmt Vertretung des Beklagten 2)</w:t>
      </w:r>
    </w:p>
    <w:p/>
    <w:p>
      <w:pPr>
        <w:pStyle w:val="Heading2"/>
      </w:pPr>
      <w:r>
        <w:rPr>
          <w:rFonts w:ascii="Times New Roman" w:hAnsi="Times New Roman"/>
        </w:rPr>
        <w:t>I. Klageanträge (gegnerisch, wie zu erwarten)</w:t>
      </w:r>
    </w:p>
    <w:p>
      <w:pPr>
        <w:jc w:val="left"/>
      </w:pPr>
      <w:r>
        <w:t>Die Klägerin wird voraussichtlich beantragen:</w:t>
      </w:r>
    </w:p>
    <w:p>
      <w:pPr>
        <w:pStyle w:val="ListNumber"/>
      </w:pPr>
      <w:r>
        <w:t xml:space="preserve">Die Beklagten werden als Gesamtschuldner verurteilt, an die Klägerin ein angemessenes Schmerzensgeld zu zahlen, dessen Höhe in das Ermessen des Gerichts gestellt wird, jedoch nicht unter </w:t>
      </w:r>
      <w:r>
        <w:rPr>
          <w:b/>
        </w:rPr>
        <w:t>18.000,00 EUR</w:t>
      </w:r>
      <w:r>
        <w:t>, nebst Zinsen seit Rechtshängigkeit.</w:t>
      </w:r>
    </w:p>
    <w:p>
      <w:pPr>
        <w:pStyle w:val="ListNumber"/>
      </w:pPr>
      <w:r>
        <w:t>Die Beklagten werden als Gesamtschuldner verurteilt, der Klägerin alle materiellen Schäden (Heilbehandlungskosten, Haushaltsführungsschaden, Fahrtkosten) zu ersetzen, soweit nicht durch Sozialversicherungsträger gedeckt.</w:t>
      </w:r>
    </w:p>
    <w:p>
      <w:pPr>
        <w:pStyle w:val="ListNumber"/>
      </w:pPr>
      <w:r>
        <w:t>Es wird festgestellt, dass die Beklagten als Gesamtschuldner verpflichtet sind, der Klägerin alle künftigen materiellen und immateriellen Schäden aus dem Unfall vom 12.01.2026 zu ersetzen.</w:t>
      </w:r>
    </w:p>
    <w:p>
      <w:pPr>
        <w:pStyle w:val="ListNumber"/>
      </w:pPr>
      <w:r>
        <w:t>Die Beklagten tragen die Kosten des Rechtsstreits.</w:t>
      </w:r>
    </w:p>
    <w:p/>
    <w:p>
      <w:pPr>
        <w:pStyle w:val="Heading2"/>
      </w:pPr>
      <w:r>
        <w:rPr>
          <w:rFonts w:ascii="Times New Roman" w:hAnsi="Times New Roman"/>
        </w:rPr>
        <w:t>II. Sachverhaltsdarstellung (gegnerisch)</w:t>
      </w:r>
    </w:p>
    <w:p>
      <w:pPr>
        <w:jc w:val="left"/>
      </w:pPr>
      <w:r>
        <w:t>Die Klägerin, Helga Vornberg (74), saß als Beifahrerin im VW Passat des Beklagten 2 (Tannenbruck), als dieser auf der A45 bei Lüdenscheid-Nord auf einen Sattelzug auffuhr. Durch die Kollision erlitt die Klägerin:</w:t>
      </w:r>
    </w:p>
    <w:p>
      <w:pPr>
        <w:jc w:val="left"/>
      </w:pPr>
      <w:r>
        <w:rPr>
          <w:b/>
        </w:rPr>
        <w:t>Verletzungen:</w:t>
      </w:r>
    </w:p>
    <w:p>
      <w:pPr>
        <w:pStyle w:val="ListBullet"/>
      </w:pPr>
      <w:r>
        <w:t>HWS-Distorsion Grad II nach Quebec Task Force (QTF) — Schmerzen, Bewegungseinschränkung, Schwindel, Kopfschmerzen</w:t>
      </w:r>
    </w:p>
    <w:p>
      <w:pPr>
        <w:pStyle w:val="ListBullet"/>
      </w:pPr>
      <w:r>
        <w:t>Querfortsatzfraktur des 3. Lendenwirbelkörpers (LWK 3) — konservative Behandlung mit Schiene (Mieder), Physiotherapie, 6 Wochen Bettruhe</w:t>
      </w:r>
    </w:p>
    <w:p>
      <w:pPr>
        <w:pStyle w:val="ListBullet"/>
      </w:pPr>
      <w:r>
        <w:t>Stationäre Behandlung Marienkrankenhaus Lüdenscheid: 12.01.2026 bis 26.01.2026 (15 Tage)</w:t>
      </w:r>
    </w:p>
    <w:p>
      <w:pPr>
        <w:pStyle w:val="ListBullet"/>
      </w:pPr>
      <w:r>
        <w:t>Anschließend Rehabilitation: Klinik Rosenberg Bad Neuenahr, 27.01.2026 bis 24.02.2026 (28 Tage)</w:t>
      </w:r>
    </w:p>
    <w:p>
      <w:pPr>
        <w:pStyle w:val="ListBullet"/>
      </w:pPr>
      <w:r>
        <w:t>Ambulante Physiotherapie: März–Mai 2026 (3 × Woche)</w:t>
      </w:r>
    </w:p>
    <w:p>
      <w:pPr>
        <w:jc w:val="left"/>
      </w:pPr>
      <w:r>
        <w:rPr>
          <w:b/>
        </w:rPr>
        <w:t>Verletzungsfolgen: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Verletzung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Behandlung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Dauer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Dauerschaden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HWS-Distorsion II°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Physio, Orthopäde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3–4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Dauerschäden erwartet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Querfortsatzfraktur LWK 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Konservativ, Mieder, Reha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8–12 Wochen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Mögliche Rest-Beschwerden bei Belastung</w:t>
            </w:r>
          </w:p>
        </w:tc>
      </w:tr>
    </w:tbl>
    <w:p>
      <w:pPr>
        <w:jc w:val="left"/>
      </w:pPr>
      <w:r>
        <w:rPr>
          <w:b/>
        </w:rPr>
        <w:t>Behandlungskosten (Übersicht):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Stationäre Behandlung (15 Tage, Eigenanteil 10 EUR/Tag)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Reha Rosenberg (Zuzahlung 28 Tage, 10 EUR/Tag)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Fahrtkosten Physiotherapie (30 × 12 km × 0,42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151,20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Hilfsmittel (Halsband, Lendenwirbelstütze)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185,00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Haushaltsführungsschaden (6 Wochen, 3 Std./Tag, 12 EUR/Std.)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1.512,00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Materieller Gesamtschaden (vorläufig)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2.278,20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III. Schmerzensgeldberechnung (Analyse RA Hoffmann)</w:t>
      </w:r>
    </w:p>
    <w:p>
      <w:pPr>
        <w:pStyle w:val="Heading3"/>
      </w:pPr>
      <w:r>
        <w:rPr>
          <w:rFonts w:ascii="Times New Roman" w:hAnsi="Times New Roman"/>
        </w:rPr>
        <w:t>Orientierungsrahmen Rechtsprechung</w:t>
      </w:r>
    </w:p>
    <w:p>
      <w:pPr>
        <w:jc w:val="left"/>
      </w:pPr>
      <w:r>
        <w:rPr>
          <w:b/>
        </w:rPr>
        <w:t>Für HWS-Distorsion Grad II:</w:t>
      </w:r>
    </w:p>
    <w:p>
      <w:pPr>
        <w:jc w:val="left"/>
      </w:pPr>
      <w:r>
        <w:t>Typischer Schmerzensgeldrahmen gemäß Schmerzensgeld-Tabelle (Hacks/Wellner, Schmerzensgeld-Beträge 2025, 42. Aufl.):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Verletzungstyp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Typischer Schmerzensgeldbetrag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HWS-Distorsion I°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500–2.500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HWS-Distorsion II° (mit kurzfristiger Behandlungsbedürftigkeit)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2.000–6.000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HWS-Distorsion II° (mit stationärer Behandlung, Reha)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5.000–10.000 EUR</w:t>
            </w:r>
          </w:p>
        </w:tc>
      </w:tr>
    </w:tbl>
    <w:p>
      <w:pPr>
        <w:jc w:val="left"/>
      </w:pPr>
      <w:r>
        <w:rPr>
          <w:b/>
        </w:rPr>
        <w:t>Für Querfortsatzfraktur LWK 3 (konservative Behandlung, keine OP):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Verletzungstyp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Typischer Schmerzensgeldbetrag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Wirbelkörperfraktur konservativ, junger Patient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4.000–8.000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Wirbelkörperfraktur konservativ, ältere Patientin (74 J.)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5.000–12.000 EUR (altersbedingt längere Heilungszeit)</w:t>
            </w:r>
          </w:p>
        </w:tc>
      </w:tr>
    </w:tbl>
    <w:p>
      <w:pPr>
        <w:jc w:val="left"/>
      </w:pPr>
      <w:r>
        <w:rPr>
          <w:b/>
        </w:rPr>
        <w:t>Gesamtbild:</w:t>
      </w:r>
      <w:r>
        <w:t xml:space="preserve"> Bei kombinierter Verletzung HWS II° + LWK 3-Fraktur, stationäre Behandlung 15 Tage, Reha 28 Tage, Patientin 74 Jahre alt, ist ein Schmerzensgeld von </w:t>
      </w:r>
      <w:r>
        <w:rPr>
          <w:b/>
        </w:rPr>
        <w:t>12.000–18.000 EUR</w:t>
      </w:r>
      <w:r>
        <w:t xml:space="preserve"> angemessen. Der klägerische Antrag 18.000 EUR liegt im oberen Bereich, ist aber nicht völlig unangemessen.</w:t>
      </w:r>
    </w:p>
    <w:p>
      <w:pPr>
        <w:jc w:val="left"/>
      </w:pPr>
      <w:r>
        <w:rPr>
          <w:b/>
        </w:rPr>
        <w:t>Vergleichsrechtsprechung:</w:t>
      </w:r>
    </w:p>
    <w:p>
      <w:pPr>
        <w:pStyle w:val="ListBullet"/>
      </w:pPr>
      <w:r>
        <w:t>OLG Hamm, Urt. v. 10.12.2018, 6 U 48/18 — HWS II° + Rippenfraktur, 6 Wochen AU, 74-jährige Patientin: 14.500 EUR Schmerzensgeld</w:t>
      </w:r>
    </w:p>
    <w:p>
      <w:pPr>
        <w:pStyle w:val="ListBullet"/>
      </w:pPr>
      <w:r>
        <w:t>LG Hagen, Urt. v. 23.04.2015, 4 O 187/14 — HWS II° + LWK-Fraktur, stationäre Behandlung, 68-jähriger Patient: 15.000 EUR</w:t>
      </w:r>
    </w:p>
    <w:p>
      <w:pPr>
        <w:pStyle w:val="ListBullet"/>
      </w:pPr>
      <w:r>
        <w:t>BGH, VersR 1989, 512 — Grundsatz: Alter und verbleibende Beeinträchtigungszeit sind bei Schmerzensgeld zu berücksichtigen (bei älteren Patienten kürzer, aber intensiver Beeinträchtigung)</w:t>
      </w:r>
    </w:p>
    <w:p/>
    <w:p>
      <w:pPr>
        <w:pStyle w:val="Heading2"/>
      </w:pPr>
      <w:r>
        <w:rPr>
          <w:rFonts w:ascii="Times New Roman" w:hAnsi="Times New Roman"/>
        </w:rPr>
        <w:t>IV. Verteidigungsstrategie RA Hoffmann (für Beklagten 2)</w:t>
      </w:r>
    </w:p>
    <w:p>
      <w:pPr>
        <w:jc w:val="left"/>
      </w:pPr>
      <w:r>
        <w:rPr>
          <w:b/>
        </w:rPr>
        <w:t>Grundsatz:</w:t>
      </w:r>
      <w:r>
        <w:t xml:space="preserve"> Vornberg ist Beifahrerin und damit direkter Gläubiger gegenüber dem Halter/Fahrer. Tannenbruck haftet dem Grunde nach. Entlastung ist nur möglich, wenn Vornberg ein Mitverschulden (§ 254 BGB) trägt — was hier nicht erkennbar ist (normale Beifahrersituation, Sicherheitsgurt getragen).</w:t>
      </w:r>
    </w:p>
    <w:p>
      <w:pPr>
        <w:jc w:val="left"/>
      </w:pPr>
      <w:r>
        <w:rPr>
          <w:b/>
        </w:rPr>
        <w:t>Verteidigungs-Ansätze:</w:t>
      </w:r>
    </w:p>
    <w:p>
      <w:pPr>
        <w:pStyle w:val="ListNumber"/>
      </w:pPr>
      <w:r>
        <w:rPr>
          <w:b/>
        </w:rPr>
        <w:t>Schmerzensgeld-Höhe:</w:t>
      </w:r>
      <w:r>
        <w:t xml:space="preserve"> 18.000 EUR ist im oberen Bereich. Wir werden auf 12.000–14.000 EUR verhandeln, gestützt auf die Heilungsprognose (keine Dauerschäden erwartet) und die überschaubare Gesamtbehandlungsdauer.</w:t>
      </w:r>
    </w:p>
    <w:p>
      <w:pPr>
        <w:pStyle w:val="ListNumber"/>
      </w:pPr>
      <w:r>
        <w:rPr>
          <w:b/>
        </w:rPr>
        <w:t>Materieller Schaden:</w:t>
      </w:r>
      <w:r>
        <w:t xml:space="preserve"> Haushaltsführungsschaden (1.512 EUR) ist zu prüfen: Vornberg, 74, lebt allein (Ehemann verstorben) — Haushaltsführungskapazität vor dem Unfall? Wie viel Hausarbeit führte sie vor dem Unfall eigenständig durch? Attest ärztlich!</w:t>
      </w:r>
    </w:p>
    <w:p>
      <w:pPr>
        <w:pStyle w:val="ListNumber"/>
      </w:pPr>
      <w:r>
        <w:rPr>
          <w:b/>
        </w:rPr>
        <w:t>Feststellungsantrag:</w:t>
      </w:r>
      <w:r>
        <w:t xml:space="preserve"> Zukünftige Schäden bei guter Heilungsprognose unwahrscheinlich — gegen Feststellungsurteil argumentieren.</w:t>
      </w:r>
    </w:p>
    <w:p>
      <w:pPr>
        <w:pStyle w:val="ListNumber"/>
      </w:pPr>
      <w:r>
        <w:rPr>
          <w:b/>
        </w:rPr>
        <w:t>Koordination HUK-Coburg:</w:t>
      </w:r>
      <w:r>
        <w:t xml:space="preserve"> HUK-Coburg ist primär in Anspruch zu nehmen (§ 115 VVG). Tannenbruck muss nicht persönlich leisten, solange HUK-Coburg zahlt. Abstimmung mit Julia Reichard (HUK-Coburg) notwendig.</w:t>
      </w:r>
    </w:p>
    <w:p>
      <w:pPr>
        <w:pStyle w:val="ListNumber"/>
      </w:pPr>
      <w:r>
        <w:rPr>
          <w:b/>
        </w:rPr>
        <w:t>Vergleich anstreben:</w:t>
      </w:r>
      <w:r>
        <w:t xml:space="preserve"> Bei einem Betrag von 13.000–15.000 EUR Schmerzensgeld + materielle Schäden (~2.300 EUR) Gesamtbetrag ca. 15.300–17.300 EUR ist ein außergerichtlicher Vergleich möglich, der das LG-Verfahren vermeidet.</w:t>
      </w:r>
    </w:p>
    <w:p/>
    <w:p>
      <w:pPr>
        <w:pStyle w:val="Heading2"/>
      </w:pPr>
      <w:r>
        <w:rPr>
          <w:rFonts w:ascii="Times New Roman" w:hAnsi="Times New Roman"/>
        </w:rPr>
        <w:t>V. Fristenübersicht zum Vornberg-Verfahren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Klageeinreichung durch RA'in Schuster (erwartet)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April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Klageerwiderung durch RA Hoffmann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 Wochen nach Zustellung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Güterichtertermin (beantragt)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Mai/Juni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Erörterungstermin (erwartet)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Juli 2026</w:t>
            </w:r>
          </w:p>
        </w:tc>
      </w:tr>
    </w:tbl>
    <w:p/>
    <w:p>
      <w:pPr>
        <w:jc w:val="left"/>
      </w:pPr>
      <w:r>
        <w:rPr>
          <w:i/>
        </w:rPr>
        <w:t>Entwurf: RA Sebastian Hoffmann — Stand 15.03.2026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Hagen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Hagen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