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MPU-Befunde und Beurteilung charakterliche Eignung</w:t>
      </w:r>
    </w:p>
    <w:p>
      <w:pPr>
        <w:jc w:val="left"/>
      </w:pPr>
      <w:r>
        <w:rPr>
          <w:b/>
        </w:rPr>
        <w:t>Dokument:</w:t>
      </w:r>
      <w:r>
        <w:t xml:space="preserve"> Vorbericht / Simulationsprotokoll DEKRA-Beratung</w:t>
      </w:r>
    </w:p>
    <w:p>
      <w:pPr>
        <w:jc w:val="left"/>
      </w:pPr>
      <w:r>
        <w:rPr>
          <w:b/>
        </w:rPr>
        <w:t>Beraterin:</w:t>
      </w:r>
      <w:r>
        <w:t xml:space="preserve"> Dipl.-Psych. Andrea Rehkopf, DEKRA Automobil GmbH, Essen</w:t>
      </w:r>
    </w:p>
    <w:p>
      <w:pPr>
        <w:jc w:val="left"/>
      </w:pPr>
      <w:r>
        <w:rPr>
          <w:b/>
        </w:rPr>
        <w:t>Termin:</w:t>
      </w:r>
      <w:r>
        <w:t xml:space="preserve"> 27.01.2026 (Erstgespräch), 03.03.2026 (Zwischengespräch)</w:t>
      </w:r>
    </w:p>
    <w:p>
      <w:pPr>
        <w:jc w:val="left"/>
      </w:pPr>
      <w:r>
        <w:rPr>
          <w:b/>
        </w:rPr>
        <w:t>Mandant:</w:t>
      </w:r>
      <w:r>
        <w:t xml:space="preserve"> Holger Tannenbruck, geb. 17.03.1973</w:t>
      </w:r>
    </w:p>
    <w:p/>
    <w:p>
      <w:pPr>
        <w:pStyle w:val="Heading2"/>
      </w:pPr>
      <w:r>
        <w:rPr>
          <w:rFonts w:ascii="Times New Roman" w:hAnsi="Times New Roman"/>
        </w:rPr>
        <w:t>I. Erstgespräch — 27.01.2026</w:t>
      </w:r>
    </w:p>
    <w:p>
      <w:pPr>
        <w:pStyle w:val="Heading3"/>
      </w:pPr>
      <w:r>
        <w:rPr>
          <w:rFonts w:ascii="Times New Roman" w:hAnsi="Times New Roman"/>
        </w:rPr>
        <w:t>Persönliche Hintergründe</w:t>
      </w:r>
    </w:p>
    <w:p>
      <w:pPr>
        <w:jc w:val="left"/>
      </w:pPr>
      <w:r>
        <w:t>Holger Tannenbruck kam pünktlich zum Erstgespräch, wirkte gepflegt und sichtlich angespannt. Er brachte die polizeiliche Unfallaufnahme und den Führerscheinentzugsbeschluss mit. Er ist bereit, die Situation vollständig aufzuarbeiten.</w:t>
      </w:r>
    </w:p>
    <w:p>
      <w:pPr>
        <w:jc w:val="left"/>
      </w:pPr>
      <w:r>
        <w:rPr>
          <w:b/>
        </w:rPr>
        <w:t>Biographische Angaben (Alkohol-Anamnese):</w:t>
      </w:r>
    </w:p>
    <w:p>
      <w:pPr>
        <w:jc w:val="left"/>
      </w:pPr>
      <w:r>
        <w:t>Tannenbruck gibt an, seit ca. 20 Jahren regelmäßig Alkohol zu konsumieren — vorwiegend Bier, gelegentlich Wein. In den letzten 3 Jahren habe der Konsum zugenommen, da die berufliche Belastung als Außendienstmitarbeiter gestiegen sei (Kundenbesuche, Geschäftsessen, Abende unterwegs).</w:t>
      </w:r>
    </w:p>
    <w:p>
      <w:pPr>
        <w:pStyle w:val="ListBullet"/>
      </w:pPr>
      <w:r>
        <w:rPr>
          <w:b/>
        </w:rPr>
        <w:t>Typischer Wochen-Konsum (Eigenangabe):</w:t>
      </w:r>
      <w:r>
        <w:t xml:space="preserve"> Ca. 3–4 Liter Bier/Woche, gelegentlich 1–2 Gläser Wein; in Belastungsphasen mehr</w:t>
      </w:r>
    </w:p>
    <w:p>
      <w:pPr>
        <w:pStyle w:val="ListBullet"/>
      </w:pPr>
      <w:r>
        <w:rPr>
          <w:b/>
        </w:rPr>
        <w:t>Letzte Abstinenzperiode:</w:t>
      </w:r>
      <w:r>
        <w:t xml:space="preserve"> Keine längere (&gt; 2 Wochen) in den letzten 5 Jahren</w:t>
      </w:r>
    </w:p>
    <w:p>
      <w:pPr>
        <w:pStyle w:val="ListBullet"/>
      </w:pPr>
      <w:r>
        <w:rPr>
          <w:b/>
        </w:rPr>
        <w:t>Trinkanlässe:</w:t>
      </w:r>
      <w:r>
        <w:t xml:space="preserve"> Geschäftsessen, Feierabendbier nach langen Fahrten, Familienfeiern</w:t>
      </w:r>
    </w:p>
    <w:p>
      <w:pPr>
        <w:pStyle w:val="ListBullet"/>
      </w:pPr>
      <w:r>
        <w:rPr>
          <w:b/>
        </w:rPr>
        <w:t>Verlust-Kontrolle:</w:t>
      </w:r>
      <w:r>
        <w:t xml:space="preserve"> Tannenbruck bestreitet Kontrollverlust in der Vergangenheit, räumt aber ein, dass er „mehr getrunken hat, als er wollte" an mehreren Abenden im letzten Jahr</w:t>
      </w:r>
    </w:p>
    <w:p>
      <w:pPr>
        <w:jc w:val="left"/>
      </w:pPr>
      <w:r>
        <w:rPr>
          <w:b/>
        </w:rPr>
        <w:t>Bewertung MPU-Beraterin Rehkopf:</w:t>
      </w:r>
    </w:p>
    <w:p>
      <w:pPr>
        <w:jc w:val="left"/>
      </w:pPr>
      <w:r>
        <w:t xml:space="preserve">Der angegebene Konsum liegt im Bereich </w:t>
      </w:r>
      <w:r>
        <w:rPr>
          <w:b/>
        </w:rPr>
        <w:t>schädlichen Gebrauchs</w:t>
      </w:r>
      <w:r>
        <w:t xml:space="preserve"> (ICD-10 F10.1), möglicherweise auch </w:t>
      </w:r>
      <w:r>
        <w:rPr>
          <w:b/>
        </w:rPr>
        <w:t>Abhängigkeitssyndrom</w:t>
      </w:r>
      <w:r>
        <w:t xml:space="preserve"> (F10.2 — zu prüfen). Die erhöhten CDT- und Gamma-GT-Werte aus dem Blutgutachten bestätigen regelmäßigen, erhöhten Alkoholkonsum. Abstinenz ist hier die einzig vertretbare Strategie zur MPU-Vorbereitung.</w:t>
      </w:r>
    </w:p>
    <w:p/>
    <w:p>
      <w:pPr>
        <w:pStyle w:val="Heading2"/>
      </w:pPr>
      <w:r>
        <w:rPr>
          <w:rFonts w:ascii="Times New Roman" w:hAnsi="Times New Roman"/>
        </w:rPr>
        <w:t>II. Psychologische Eingangsdiagnostik (Simulation, 03.03.2026)</w:t>
      </w:r>
    </w:p>
    <w:p>
      <w:pPr>
        <w:pStyle w:val="Heading3"/>
      </w:pPr>
      <w:r>
        <w:rPr>
          <w:rFonts w:ascii="Times New Roman" w:hAnsi="Times New Roman"/>
        </w:rPr>
        <w:t>Leistungstest (Wiener Testsystem — Simulation)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Subtest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Grenzwert MPU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Reaktionszeit (RT)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498 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 600 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Wahrnehmungskonzentration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Prozentrang 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&gt; PR 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Belastbarkeit (DT-Test)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Durchschnittlich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Durchschnittlich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Überblicksgewinnung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Prozentrang 29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&gt; PR 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Reaktion unter Belastung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Leicht unterdurchschnittlich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Grenzwertig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Trainieren!</w:t>
            </w:r>
          </w:p>
        </w:tc>
      </w:tr>
    </w:tbl>
    <w:p>
      <w:pPr>
        <w:jc w:val="left"/>
      </w:pPr>
      <w:r>
        <w:rPr>
          <w:b/>
        </w:rPr>
        <w:t>Kommentar Rehkopf:</w:t>
      </w:r>
      <w:r>
        <w:t xml:space="preserve"> Leistungstest-Ergebnisse sind grenzwertig zufriedenstellend. Die Reaktion unter Belastung (DT-Untertest) ist leicht unterdurchschnittlich — Training erforderlich. Tannenbruck hat 6 Wochen Zeit bis zum nächsten Simulationstest.</w:t>
      </w:r>
    </w:p>
    <w:p>
      <w:pPr>
        <w:pStyle w:val="Heading3"/>
      </w:pPr>
      <w:r>
        <w:rPr>
          <w:rFonts w:ascii="Times New Roman" w:hAnsi="Times New Roman"/>
        </w:rPr>
        <w:t>Psychologisches Gespräch (Simulation MPU-Exploration)</w:t>
      </w:r>
    </w:p>
    <w:p>
      <w:pPr>
        <w:jc w:val="left"/>
      </w:pPr>
      <w:r>
        <w:rPr>
          <w:b/>
        </w:rPr>
        <w:t>Frage 1: „Warum fahren Sie nach dem Unfall keinen Alkohol mehr?"</w:t>
      </w:r>
    </w:p>
    <w:p>
      <w:pPr>
        <w:jc w:val="left"/>
      </w:pPr>
      <w:r>
        <w:t xml:space="preserve">Tannenbrucks Antwort (wörtlich): </w:t>
      </w:r>
      <w:r>
        <w:rPr>
          <w:i/>
        </w:rPr>
        <w:t>„Ich habe gemerkt, dass ich mich selbst und andere gefährdet habe. Der Unfall hat mir gezeigt, dass mein Alkohol-Konsum außer Kontrolle geraten war. Ich habe meiner Schwiegermutter — die mich liebt und mir vertraut hat — eine schwere Verletzung zugefügt. Das lässt mich nicht los. Ich will das nie wieder riskieren."</w:t>
      </w:r>
    </w:p>
    <w:p>
      <w:pPr>
        <w:jc w:val="left"/>
      </w:pPr>
      <w:r>
        <w:rPr>
          <w:b/>
        </w:rPr>
        <w:t>Bewertung Rehkopf:</w:t>
      </w:r>
      <w:r>
        <w:t xml:space="preserve"> Antwort wirkt authentisch und emotional berührt. Kein auswendig gelernter Standardsatz. Gut.</w:t>
      </w:r>
    </w:p>
    <w:p>
      <w:pPr>
        <w:jc w:val="left"/>
      </w:pPr>
      <w:r>
        <w:rPr>
          <w:b/>
        </w:rPr>
        <w:t>Frage 2: „Was hat sich in Ihrem Alltag konkret verändert?"</w:t>
      </w:r>
    </w:p>
    <w:p>
      <w:pPr>
        <w:jc w:val="left"/>
      </w:pPr>
      <w:r>
        <w:t xml:space="preserve">Tannenbrucks Antwort: </w:t>
      </w:r>
      <w:r>
        <w:rPr>
          <w:i/>
        </w:rPr>
        <w:t>„Ich gehe nicht mehr zu Geschäftsessen wenn ich fahren muss. Ich habe meiner Frau erzählt, was wirklich los war. Ich gehe freitags zur AA-Gruppe. Das ist anfangs schwer gewesen — aber jetzt sehe ich, dass die anderen ähnliche Probleme haben. Das hilft."</w:t>
      </w:r>
    </w:p>
    <w:p>
      <w:pPr>
        <w:jc w:val="left"/>
      </w:pPr>
      <w:r>
        <w:rPr>
          <w:b/>
        </w:rPr>
        <w:t>Bewertung Rehkopf:</w:t>
      </w:r>
      <w:r>
        <w:t xml:space="preserve"> Konkrete Verhaltensänderungen beschrieben. Soziale Einbindung (AA) positiv. Eheliche Offenheit positiv.</w:t>
      </w:r>
    </w:p>
    <w:p>
      <w:pPr>
        <w:jc w:val="left"/>
      </w:pPr>
      <w:r>
        <w:rPr>
          <w:b/>
        </w:rPr>
        <w:t>Frage 3: „Haben Sie eine Garantie, dass Sie nicht rückfällig werden?"</w:t>
      </w:r>
    </w:p>
    <w:p>
      <w:pPr>
        <w:jc w:val="left"/>
      </w:pPr>
      <w:r>
        <w:t xml:space="preserve">Tannenbrucks Antwort: </w:t>
      </w:r>
      <w:r>
        <w:rPr>
          <w:i/>
        </w:rPr>
        <w:t>„Eine Garantie kann niemand geben. Aber ich habe Strukturen aufgebaut, die mir helfen. Und ich weiß, was ich verliere, wenn ich rückfällig werde — meinen Beruf, meine Familie, meinen Führerschein."</w:t>
      </w:r>
    </w:p>
    <w:p>
      <w:pPr>
        <w:jc w:val="left"/>
      </w:pPr>
      <w:r>
        <w:rPr>
          <w:b/>
        </w:rPr>
        <w:t>Bewertung Rehkopf:</w:t>
      </w:r>
      <w:r>
        <w:t xml:space="preserve"> Realistische Selbsteinschätzung — keine Überzeugung durch leere Versprechen. Das MPU-Gutachten schätzt solche ehrlichen Antworten positiver als scheinbar perfekte Selbstdarstellungen.</w:t>
      </w:r>
    </w:p>
    <w:p/>
    <w:p>
      <w:pPr>
        <w:pStyle w:val="Heading2"/>
      </w:pPr>
      <w:r>
        <w:rPr>
          <w:rFonts w:ascii="Times New Roman" w:hAnsi="Times New Roman"/>
        </w:rPr>
        <w:t>III. Laborwert-Verlauf (Abstinenz-Monitoring)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Gamma-GT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12.01.2026 (Unfall)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1,8 % (erhöht)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62 U/l (erhöht)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Blutgutachten Uniklinik Essen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1,6 %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55 U/l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Hausarzt Dr. Beeck, Lüdenscheid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44 U/l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Rückgang erkennbar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 U/l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Normalisierung schreitet fort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Zielwert MPU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 1,7 %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 55 U/l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Referenzwert</w:t>
            </w:r>
          </w:p>
        </w:tc>
      </w:tr>
    </w:tbl>
    <w:p>
      <w:pPr>
        <w:jc w:val="left"/>
      </w:pPr>
      <w:r>
        <w:rPr>
          <w:b/>
        </w:rPr>
        <w:t>Trend:</w:t>
      </w:r>
      <w:r>
        <w:t xml:space="preserve"> Die Laborwerte normalisieren sich konsistent. Bei diesem Trend sind bis Mai/Juni 2026 normale Werte zu erwarten. CDT-Normwert &lt; 1,7 % wird voraussichtlich bereits im April/Mai erreicht.</w:t>
      </w:r>
    </w:p>
    <w:p/>
    <w:p>
      <w:pPr>
        <w:pStyle w:val="Heading2"/>
      </w:pPr>
      <w:r>
        <w:rPr>
          <w:rFonts w:ascii="Times New Roman" w:hAnsi="Times New Roman"/>
        </w:rPr>
        <w:t>IV. Empfehlungen MPU-Beraterin Rehkopf (März 2026)</w:t>
      </w:r>
    </w:p>
    <w:p>
      <w:pPr>
        <w:pStyle w:val="ListNumber"/>
      </w:pPr>
      <w:r>
        <w:rPr>
          <w:b/>
        </w:rPr>
        <w:t>Weiterführung AA-Gruppe</w:t>
      </w:r>
      <w:r>
        <w:t xml:space="preserve"> (mindestens bis MPU-Termin, idealerweise dauerhaft)</w:t>
      </w:r>
    </w:p>
    <w:p>
      <w:pPr>
        <w:pStyle w:val="ListNumber"/>
      </w:pPr>
      <w:r>
        <w:rPr>
          <w:b/>
        </w:rPr>
        <w:t>Suchtberatungsstelle SKF Lüdenscheid</w:t>
      </w:r>
      <w:r>
        <w:t xml:space="preserve"> — monatliche Sitzungen beibehalten</w:t>
      </w:r>
    </w:p>
    <w:p>
      <w:pPr>
        <w:pStyle w:val="ListNumber"/>
      </w:pPr>
      <w:r>
        <w:rPr>
          <w:b/>
        </w:rPr>
        <w:t>Reaktionstraining</w:t>
      </w:r>
      <w:r>
        <w:t xml:space="preserve"> (3 weitere Sitzungen DEKRA April/Mai)</w:t>
      </w:r>
    </w:p>
    <w:p>
      <w:pPr>
        <w:pStyle w:val="ListNumber"/>
      </w:pPr>
      <w:r>
        <w:rPr>
          <w:b/>
        </w:rPr>
        <w:t>Haaranalyse April 2026</w:t>
      </w:r>
      <w:r>
        <w:t xml:space="preserve"> — EtG für Abstinenznachweis ab 12.01.2026 (3 Monate)</w:t>
      </w:r>
    </w:p>
    <w:p>
      <w:pPr>
        <w:pStyle w:val="ListNumber"/>
      </w:pPr>
      <w:r>
        <w:rPr>
          <w:b/>
        </w:rPr>
        <w:t>Exploration-Training</w:t>
      </w:r>
      <w:r>
        <w:t>: weitere 2 MPU-Simulationsgespräche bei Rehkopf (März/April)</w:t>
      </w:r>
    </w:p>
    <w:p>
      <w:pPr>
        <w:pStyle w:val="ListNumber"/>
      </w:pPr>
      <w:r>
        <w:rPr>
          <w:b/>
        </w:rPr>
        <w:t>Notfall-Plan</w:t>
      </w:r>
      <w:r>
        <w:t>: Schriftlich festhalten, was Tannenbruck tut, wenn er in sozialen Situationen auf Alkohol angesprochen wird (Kommunikationsstrategie)</w:t>
      </w:r>
    </w:p>
    <w:p/>
    <w:p>
      <w:pPr>
        <w:pStyle w:val="Heading2"/>
      </w:pPr>
      <w:r>
        <w:rPr>
          <w:rFonts w:ascii="Times New Roman" w:hAnsi="Times New Roman"/>
        </w:rPr>
        <w:t>V. Prognose MPU-Ausgang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Einfluss auf MPU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Laborwerte (CDT, Gamma-GT)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Normalisierung nachweisbar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Leistungstest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Grenzwertig — Nachbessern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Neutral-positiv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Psychologische Reflexion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Authentisch, emotional fundiert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AA-Beteiligung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Suchtberatung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Haaranalyse (EtG)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 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Verhaltensstrategie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Konkret und plausibel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</w:tbl>
    <w:p>
      <w:pPr>
        <w:jc w:val="left"/>
      </w:pPr>
      <w:r>
        <w:rPr>
          <w:b/>
        </w:rPr>
        <w:t>Gesamtprognose:</w:t>
      </w:r>
      <w:r>
        <w:t xml:space="preserve"> Bei konstanter Abstinenz und konsequenter Vorbereitung ist ein </w:t>
      </w:r>
      <w:r>
        <w:rPr>
          <w:b/>
        </w:rPr>
        <w:t>positives MPU-Ergebnis realistisch</w:t>
      </w:r>
      <w:r>
        <w:t xml:space="preserve"> — voraussichtlicher Termin: </w:t>
      </w:r>
      <w:r>
        <w:rPr>
          <w:b/>
        </w:rPr>
        <w:t>Juni/Juli 2026</w:t>
      </w:r>
      <w:r>
        <w:t>. Risiko: Haaranalyse könnte EtG-Werte aus der Vorperiode (Okt.–Jan.) zeigen — dies wird offen kommuniziert und ist kein Ausschlussgrund.</w:t>
      </w:r>
    </w:p>
    <w:p/>
    <w:p>
      <w:pPr>
        <w:jc w:val="left"/>
      </w:pPr>
      <w:r>
        <w:rPr>
          <w:i/>
        </w:rPr>
        <w:t>Protokoll: Dipl.-Psych. A. Rehkopf, DEKRA Automobil GmbH Essen — Stand 05.03.2026</w:t>
      </w:r>
    </w:p>
    <w:p>
      <w:pPr>
        <w:jc w:val="left"/>
      </w:pPr>
      <w:r>
        <w:rPr>
          <w:i/>
        </w:rPr>
        <w:t>In Kopie an RA Sebastian Hoffmann (mit Zustimmung Mandant)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DEKRA Automobil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DEKRA Automobil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Essen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