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Grundbuch und Rangverhältnisse</w:t>
      </w:r>
    </w:p>
    <w:p>
      <w:pPr>
        <w:pStyle w:val="Heading2"/>
      </w:pPr>
      <w:r>
        <w:rPr>
          <w:rFonts w:ascii="Times New Roman" w:hAnsi="Times New Roman"/>
        </w:rPr>
        <w:t>Grundbuch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Krefeld - Grundbuchamt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Grundbuch von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Krefeld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Blatt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12 887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Bestandsverzeichnis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lfd. Nr. 1, Gemarkung Krefeld, Flur 14, Flurstück 482/19, Beethovenstrasse 12, 47800 Krefeld, Groesse 489 qm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Abteilung I - Eigentum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Eigentum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Bernd Mueller und Dorothea Mueller, je zur Hälfte, Auflassung 11.4.2014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Abteilung II - Lasten und Beschränkungen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Wegerecht zugunsten Flurstück 482/20 (Nachbar Schwarz), Eintragung 11.4.2014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sonst frei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Abteilung III - Hypotheken, Grundschulden, Rentenschulden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Eintragung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Grundschuld 380.000 EUR für Sparkasse Niederrhein AOeR; Zinsen 18 Prozent, Nebenleistung 10 Prozent; sofort vollstreckbar; Eintragung 16.6.2017; Bezugsurkunde Notar Dr. Berghoff, URNr 882/2017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weiteren Belastungen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Wirtschaftlicher Hintergrund</w:t>
      </w:r>
    </w:p>
    <w:p>
      <w:pPr>
        <w:pStyle w:val="ListBullet"/>
      </w:pPr>
      <w:r>
        <w:t>Marktwerteinschätzung Sparkasse: 650.000 EUR (Bodenrichtwert 850 EUR/qm, Wohnfläche 178 qm, Baujahr 2014).</w:t>
      </w:r>
    </w:p>
    <w:p>
      <w:pPr>
        <w:pStyle w:val="ListBullet"/>
      </w:pPr>
      <w:r>
        <w:t>Verkehrswertgutachten Paragraf 74a ZVG noch zu beantragen; Gerichtssachverständiger.</w:t>
      </w:r>
    </w:p>
    <w:p>
      <w:pPr>
        <w:pStyle w:val="ListBullet"/>
      </w:pPr>
      <w:r>
        <w:t>Geringstes Gebot wird im wesentlichen aus der Grundschuld und Verfahrenskosten bestehen, vorrangige Lasten fehlen.</w:t>
      </w:r>
    </w:p>
    <w:p>
      <w:pPr>
        <w:pStyle w:val="Heading2"/>
      </w:pPr>
      <w:r>
        <w:rPr>
          <w:rFonts w:ascii="Times New Roman" w:hAnsi="Times New Roman"/>
        </w:rPr>
        <w:t>Wertgrenzen Paragraf 85a ZVG (Vorausberechnung)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Schwelle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Konsequenz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5/10 des Verkehrswerts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325.000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erster Termin: kein Zuschlag bei Meistgebot darunter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7/10 des Verkehrswerts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455.000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erster Termin: Zuschlag kann auf Antrag des Berechtigten versagt werden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 Termin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Wertgrenzen entfallen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Hinweise</w:t>
      </w:r>
    </w:p>
    <w:p>
      <w:pPr>
        <w:pStyle w:val="ListBullet"/>
      </w:pPr>
      <w:r>
        <w:t>Die Sparkasse vermutet, dass im Hause weiterer Hausrat im Wert von ca. 25.000 EUR üblich ist; Mobiliarvollstreckung daneben unverhaeltnismaessig, weil familiengenutzt (Paragraf 811 ZPO).</w:t>
      </w:r>
    </w:p>
    <w:p>
      <w:pPr>
        <w:pStyle w:val="ListBullet"/>
      </w:pPr>
      <w:r>
        <w:t>Selbstgenutzter Wohnraum mit minderjährigen Kindern - Vollstreckungsschutzantrag Paragraf 765a ZPO der Schuldner ist absehbar.</w:t>
      </w:r>
    </w:p>
    <w:p>
      <w:pPr>
        <w:pStyle w:val="ListBullet"/>
      </w:pPr>
      <w:r>
        <w:t>Bei vorhandenen Mieteinnahmen kommt Zwangsverwaltung in Betracht; vorliegend selbstgenutzt - reine Versteigerung.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Verkehrswertgutachten Paragraf 74a ZVG noch zu beantragen; Gerichtssachverständiger.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Verkehrswertgutachten Paragraf 74a ZVG noch zu beantragen; Gerichtssachverständiger.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