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left"/>
      </w:pPr>
      <w:r>
        <w:t>art: Auszug Teilungserklärung</w:t>
      </w:r>
    </w:p>
    <w:p>
      <w:pPr>
        <w:jc w:val="left"/>
      </w:pPr>
      <w:r>
        <w:t>quelle: Notarin Dr. Berger, Berlin, UR-Nr. 187/1985 vom 14.03.1985, in Kraft 01.06.1985</w:t>
      </w:r>
    </w:p>
    <w:p>
      <w:pPr>
        <w:jc w:val="left"/>
      </w:pPr>
      <w:r>
        <w:t>status: Stand der Eintragung im Grundbuch AG Charlottenburg Blatt 47821; nachtraegliche Beschlussfassung zur Gemeinschaftsordnung 2003, 2011, 2018</w:t>
      </w:r>
    </w:p>
    <w:p/>
    <w:p>
      <w:pPr>
        <w:pStyle w:val="Heading1"/>
      </w:pPr>
      <w:r>
        <w:rPr>
          <w:rFonts w:ascii="Times New Roman" w:hAnsi="Times New Roman"/>
        </w:rPr>
        <w:t>Teilungserklärung WEG Hohenzollernhof — relevante Auszüge</w:t>
      </w:r>
    </w:p>
    <w:p>
      <w:pPr>
        <w:pStyle w:val="Heading2"/>
      </w:pPr>
      <w:r>
        <w:rPr>
          <w:rFonts w:ascii="Times New Roman" w:hAnsi="Times New Roman"/>
        </w:rPr>
        <w:t>§ 1 Aufteilungsplan</w:t>
      </w:r>
    </w:p>
    <w:p>
      <w:pPr>
        <w:jc w:val="left"/>
      </w:pPr>
      <w:r>
        <w:t>Die Teilung wurde aufgrund Aufteilungsplan Bauamt Charlottenburg vom 11.02.1985 mit Abgeschlossenheitsbescheinigung gleichen Datums vorgenommen.</w:t>
      </w:r>
    </w:p>
    <w:p>
      <w:pPr>
        <w:jc w:val="left"/>
      </w:pPr>
      <w:r>
        <w:t>Es bestehen:</w:t>
      </w:r>
    </w:p>
    <w:p>
      <w:pPr>
        <w:pStyle w:val="ListBullet"/>
      </w:pPr>
      <w:r>
        <w:t>38 Wohnungseigentumseinheiten (Nrn. 1-38)</w:t>
      </w:r>
    </w:p>
    <w:p>
      <w:pPr>
        <w:pStyle w:val="ListBullet"/>
      </w:pPr>
      <w:r>
        <w:t>2 Teileigentumseinheiten Gewerbe (Nrn. 39, 40)</w:t>
      </w:r>
    </w:p>
    <w:p>
      <w:pPr>
        <w:pStyle w:val="ListBullet"/>
      </w:pPr>
      <w:r>
        <w:t>22 Stellplatz-Sondereigentumseinheiten Tiefgarage (TG1 bis TG22, je 1/10.000 MEA)</w:t>
      </w:r>
    </w:p>
    <w:p>
      <w:pPr>
        <w:pStyle w:val="Heading2"/>
      </w:pPr>
      <w:r>
        <w:rPr>
          <w:rFonts w:ascii="Times New Roman" w:hAnsi="Times New Roman"/>
        </w:rPr>
        <w:t>§ 4 Miteigentumsanteile (MEA)</w:t>
      </w:r>
    </w:p>
    <w:p>
      <w:pPr>
        <w:jc w:val="left"/>
      </w:pPr>
      <w:r>
        <w:t xml:space="preserve">Die Berechnung erfolgte nach </w:t>
      </w:r>
      <w:r>
        <w:rPr>
          <w:b/>
        </w:rPr>
        <w:t>Nutzfläche</w:t>
      </w:r>
      <w:r>
        <w:t xml:space="preserve"> zuzüglich pauschalem Aufschlag von 25 % für die Gewerbeeinheiten (Praxis Erdgeschoss, Architekturbüro EG). Stellplätze pauschal 1 MEA von 10.000.</w:t>
      </w:r>
    </w:p>
    <w:p>
      <w:pPr>
        <w:jc w:val="left"/>
      </w:pPr>
      <w:r>
        <w:t xml:space="preserve">Konsequenz: Beschlüsse, die nach </w:t>
      </w:r>
      <w:r>
        <w:rPr>
          <w:b/>
        </w:rPr>
        <w:t>Kopfprinzip</w:t>
      </w:r>
      <w:r>
        <w:t xml:space="preserve"> beschlossen werden, weichen ab von Beschlüssen nach MEA. Mehrere Eigentümer halten mehrere Einheiten (z.B. WEG-Vermietung Krause GbR: WE 7, 11, 17, 22 = 412 MEA, aber </w:t>
      </w:r>
      <w:r>
        <w:rPr>
          <w:b/>
        </w:rPr>
        <w:t>1 Kopf</w:t>
      </w:r>
      <w:r>
        <w:t xml:space="preserve"> in der Versammlung — alte BGH-Linie zu Pluralinhabern beachten).</w:t>
      </w:r>
    </w:p>
    <w:p>
      <w:pPr>
        <w:pStyle w:val="Heading2"/>
      </w:pPr>
      <w:r>
        <w:rPr>
          <w:rFonts w:ascii="Times New Roman" w:hAnsi="Times New Roman"/>
        </w:rPr>
        <w:t>§ 7 Sondereigentum und Gemeinschaftseigentum</w:t>
      </w:r>
    </w:p>
    <w:p>
      <w:pPr>
        <w:pStyle w:val="Heading3"/>
      </w:pPr>
      <w:r>
        <w:rPr>
          <w:rFonts w:ascii="Times New Roman" w:hAnsi="Times New Roman"/>
        </w:rPr>
        <w:t>Sondereigentum</w:t>
      </w:r>
    </w:p>
    <w:p>
      <w:pPr>
        <w:pStyle w:val="ListBullet"/>
      </w:pPr>
      <w:r>
        <w:t>Innenwände soweit nicht tragend</w:t>
      </w:r>
    </w:p>
    <w:p>
      <w:pPr>
        <w:pStyle w:val="ListBullet"/>
      </w:pPr>
      <w:r>
        <w:t>Bodenbeläge, Deckenverkleidung</w:t>
      </w:r>
    </w:p>
    <w:p>
      <w:pPr>
        <w:pStyle w:val="ListBullet"/>
      </w:pPr>
      <w:r>
        <w:t>Sanitärobjekte</w:t>
      </w:r>
    </w:p>
    <w:p>
      <w:pPr>
        <w:pStyle w:val="ListBullet"/>
      </w:pPr>
      <w:r>
        <w:t>Heizungskörper INNERHALB der Wohnung (nicht: Steigleitungen)</w:t>
      </w:r>
    </w:p>
    <w:p>
      <w:pPr>
        <w:pStyle w:val="ListBullet"/>
      </w:pPr>
      <w:r>
        <w:t xml:space="preserve">Fenster INNERSEITE der Glasfront — </w:t>
      </w:r>
      <w:r>
        <w:rPr>
          <w:b/>
        </w:rPr>
        <w:t>strittig</w:t>
      </w:r>
      <w:r>
        <w:t xml:space="preserve"> (s.u. § 7 Abs. 4 Nachtragsbeschluss 2011)</w:t>
      </w:r>
    </w:p>
    <w:p>
      <w:pPr>
        <w:pStyle w:val="ListBullet"/>
      </w:pPr>
      <w:r>
        <w:t>Innentüren</w:t>
      </w:r>
    </w:p>
    <w:p>
      <w:pPr>
        <w:pStyle w:val="Heading3"/>
      </w:pPr>
      <w:r>
        <w:rPr>
          <w:rFonts w:ascii="Times New Roman" w:hAnsi="Times New Roman"/>
        </w:rPr>
        <w:t>Gemeinschaftseigentum</w:t>
      </w:r>
    </w:p>
    <w:p>
      <w:pPr>
        <w:pStyle w:val="ListBullet"/>
      </w:pPr>
      <w:r>
        <w:t>Tragende Wände und Decken</w:t>
      </w:r>
    </w:p>
    <w:p>
      <w:pPr>
        <w:pStyle w:val="ListBullet"/>
      </w:pPr>
      <w:r>
        <w:t>Estrich (BGH-Linie)</w:t>
      </w:r>
    </w:p>
    <w:p>
      <w:pPr>
        <w:pStyle w:val="ListBullet"/>
      </w:pPr>
      <w:r>
        <w:t>Dämmung</w:t>
      </w:r>
    </w:p>
    <w:p>
      <w:pPr>
        <w:pStyle w:val="ListBullet"/>
      </w:pPr>
      <w:r>
        <w:t>Fenster AUSSENSEITE</w:t>
      </w:r>
    </w:p>
    <w:p>
      <w:pPr>
        <w:pStyle w:val="ListBullet"/>
      </w:pPr>
      <w:r>
        <w:t>Aussenwaende und Fassade</w:t>
      </w:r>
    </w:p>
    <w:p>
      <w:pPr>
        <w:pStyle w:val="ListBullet"/>
      </w:pPr>
      <w:r>
        <w:t>Dach mit Dachrinne und Fallrohren</w:t>
      </w:r>
    </w:p>
    <w:p>
      <w:pPr>
        <w:pStyle w:val="ListBullet"/>
      </w:pPr>
      <w:r>
        <w:t>Heizungszentrale mit Kessel, Speicher, Steigleitungen</w:t>
      </w:r>
    </w:p>
    <w:p>
      <w:pPr>
        <w:pStyle w:val="ListBullet"/>
      </w:pPr>
      <w:r>
        <w:t>Treppenhaus, Aufzug, Hof</w:t>
      </w:r>
    </w:p>
    <w:p>
      <w:pPr>
        <w:pStyle w:val="ListBullet"/>
      </w:pPr>
      <w:r>
        <w:t>Hauseingangstür mit Klingelanlage</w:t>
      </w:r>
    </w:p>
    <w:p>
      <w:pPr>
        <w:pStyle w:val="Heading3"/>
      </w:pPr>
      <w:r>
        <w:rPr>
          <w:rFonts w:ascii="Times New Roman" w:hAnsi="Times New Roman"/>
        </w:rPr>
        <w:t>Strittiger Bereich</w:t>
      </w:r>
    </w:p>
    <w:p>
      <w:pPr>
        <w:jc w:val="left"/>
      </w:pPr>
      <w:r>
        <w:rPr>
          <w:b/>
        </w:rPr>
        <w:t>Balkone der Fassadenseite Hofgarten:</w:t>
      </w:r>
    </w:p>
    <w:p>
      <w:pPr>
        <w:pStyle w:val="ListBullet"/>
      </w:pPr>
      <w:r>
        <w:t>TE § 7 Abs. 3 sagt: Balkonbodenfläche Sondernutzung der jeweiligen Wohnungseinheit; Balkon-Tragkonstruktion Gemeinschaftseigentum.</w:t>
      </w:r>
    </w:p>
    <w:p>
      <w:pPr>
        <w:pStyle w:val="ListBullet"/>
      </w:pPr>
      <w:r>
        <w:t>BGH V ZR 274/12 v. 25.10.2013 (Senatslinie): konstruktive Bestandteile (Balkonbrüstung, Bodenplatte) Gemeinschaftseigentum; Bodenbelag (Fliesen) Sondereigentum.</w:t>
      </w:r>
    </w:p>
    <w:p>
      <w:pPr>
        <w:pStyle w:val="ListBullet"/>
      </w:pPr>
      <w:r>
        <w:rPr>
          <w:b/>
        </w:rPr>
        <w:t>Konsequenz für Akte:</w:t>
      </w:r>
      <w:r>
        <w:t xml:space="preserve"> Sanierung Balkon-Beton-Tragkonstruktion und Bruestungsgelaender ist Gemeinschaftseigentum-Sanierung; Eigentümer zahlt nicht selbst; Beschluss EV erforderlich.</w:t>
      </w:r>
    </w:p>
    <w:p>
      <w:pPr>
        <w:pStyle w:val="Heading2"/>
      </w:pPr>
      <w:r>
        <w:rPr>
          <w:rFonts w:ascii="Times New Roman" w:hAnsi="Times New Roman"/>
        </w:rPr>
        <w:t>§ 12 Versammlungsmodus</w:t>
      </w:r>
    </w:p>
    <w:p>
      <w:pPr>
        <w:pStyle w:val="ListBullet"/>
      </w:pPr>
      <w:r>
        <w:t xml:space="preserve">Eigentuemerversammlung mindestens </w:t>
      </w:r>
      <w:r>
        <w:rPr>
          <w:b/>
        </w:rPr>
        <w:t>einmal jährlich</w:t>
      </w:r>
      <w:r>
        <w:t xml:space="preserve"> (BGB Standard, vgl. § 24 I WEG).</w:t>
      </w:r>
    </w:p>
    <w:p>
      <w:pPr>
        <w:pStyle w:val="ListBullet"/>
      </w:pPr>
      <w:r>
        <w:t xml:space="preserve">Einberufung durch Verwalter mit </w:t>
      </w:r>
      <w:r>
        <w:rPr>
          <w:b/>
        </w:rPr>
        <w:t>3-Wochen-Frist</w:t>
      </w:r>
      <w:r>
        <w:t xml:space="preserve"> (§ 24 IV 2 WEG ist zwingend, daher nicht abweichend regelbar).</w:t>
      </w:r>
    </w:p>
    <w:p>
      <w:pPr>
        <w:pStyle w:val="ListBullet"/>
      </w:pPr>
      <w:r>
        <w:t>Tagesordnung muss in der Einladung enthalten sein (§ 24 IV 2 WEG).</w:t>
      </w:r>
    </w:p>
    <w:p>
      <w:pPr>
        <w:pStyle w:val="ListBullet"/>
      </w:pPr>
      <w:r>
        <w:t xml:space="preserve">Stimmrecht: </w:t>
      </w:r>
      <w:r>
        <w:rPr>
          <w:b/>
        </w:rPr>
        <w:t>Kopfprinzip</w:t>
      </w:r>
      <w:r>
        <w:t xml:space="preserve"> (TE § 12 Abs. 2) — wie § 25 II WEG vor 01.12.2020; nach WEG-Reform aber </w:t>
      </w:r>
      <w:r>
        <w:rPr>
          <w:b/>
        </w:rPr>
        <w:t>gesetzlich Wert-Prinzip</w:t>
      </w:r>
      <w:r>
        <w:t xml:space="preserve"> (§ 25 I WEG n.F.) — strittig, ob TE-Regelung weiter gilt. </w:t>
      </w:r>
      <w:r>
        <w:rPr>
          <w:b/>
        </w:rPr>
        <w:t>Live im Mandat prüfen!</w:t>
      </w:r>
    </w:p>
    <w:p>
      <w:pPr>
        <w:pStyle w:val="Heading2"/>
      </w:pPr>
      <w:r>
        <w:rPr>
          <w:rFonts w:ascii="Times New Roman" w:hAnsi="Times New Roman"/>
        </w:rPr>
        <w:t>§ 15 Bauliche Veränderungen</w:t>
      </w:r>
    </w:p>
    <w:p>
      <w:pPr>
        <w:jc w:val="left"/>
      </w:pPr>
      <w:r>
        <w:t xml:space="preserve">Vor der WEG-Reform 2020 war hier qualifizierte Mehrheit erforderlich. </w:t>
      </w:r>
      <w:r>
        <w:rPr>
          <w:b/>
        </w:rPr>
        <w:t>Stand 05/2026 gilt § 20 WEG n.F.</w:t>
      </w:r>
      <w:r>
        <w:t xml:space="preserve"> — einfache Mehrheit für alle baulichen Veränderungen; nur bei "grundlegender Umgestaltung" oder "Schlechterstellung einzelner" qualifizierte Mehrheit.</w:t>
      </w:r>
    </w:p>
    <w:p>
      <w:pPr>
        <w:jc w:val="left"/>
      </w:pPr>
      <w:r>
        <w:rPr>
          <w:b/>
        </w:rPr>
        <w:t>Sonderfall § 20 II Nr. 2 WEG</w:t>
      </w:r>
      <w:r>
        <w:t xml:space="preserve">: Privilegierte bauliche Veränderungen — barrierefreier Ausbau, Lade-Infrastruktur für E-Fahrzeuge (Wallbox), Einbruchsschutz, Glasfaser-Anschluss. Einzelner Eigentümer hat </w:t>
      </w:r>
      <w:r>
        <w:rPr>
          <w:b/>
        </w:rPr>
        <w:t>Anspruch</w:t>
      </w:r>
      <w:r>
        <w:t xml:space="preserve"> auf Gestattung (nicht: Anspruch auf Kostentragung durch Gemeinschaft); Beschluss als reine Gestattung. Kostentragung beim Antragsteller.</w:t>
      </w:r>
    </w:p>
    <w:p>
      <w:pPr>
        <w:pStyle w:val="Heading2"/>
      </w:pPr>
      <w:r>
        <w:rPr>
          <w:rFonts w:ascii="Times New Roman" w:hAnsi="Times New Roman"/>
        </w:rPr>
        <w:t>§ 18 Sondernutzungsrechte</w:t>
      </w:r>
    </w:p>
    <w:p>
      <w:pPr>
        <w:pStyle w:val="ListBullet"/>
      </w:pPr>
      <w:r>
        <w:t>14 Aussenstellplaetze: Sondernutzungsrechte. Inhaber laut Anlage 3 TE.</w:t>
      </w:r>
    </w:p>
    <w:p>
      <w:pPr>
        <w:pStyle w:val="ListBullet"/>
      </w:pPr>
      <w:r>
        <w:t>Hoffläche Sondernutzung der Gewerbeeinheit WE 39 (Praxis Dr. Lipinski) für Patienten-Parken.</w:t>
      </w:r>
    </w:p>
    <w:p>
      <w:pPr>
        <w:pStyle w:val="ListBullet"/>
      </w:pPr>
      <w:r>
        <w:t>Dachterrasse Sondernutzung WE 36 (Mansardenwohnung).</w:t>
      </w:r>
    </w:p>
    <w:p>
      <w:pPr>
        <w:pStyle w:val="ListBullet"/>
      </w:pPr>
      <w:r>
        <w:t>Kellerräume: getrennte Sondernutzung pro Wohnung; Zuordnung Anlage 2 TE.</w:t>
      </w:r>
    </w:p>
    <w:p>
      <w:pPr>
        <w:pStyle w:val="Heading2"/>
      </w:pPr>
      <w:r>
        <w:rPr>
          <w:rFonts w:ascii="Times New Roman" w:hAnsi="Times New Roman"/>
        </w:rPr>
        <w:t>§ 22 Kostentragung</w:t>
      </w:r>
    </w:p>
    <w:p>
      <w:pPr>
        <w:pStyle w:val="ListBullet"/>
      </w:pPr>
      <w:r>
        <w:t>Hausgeld nach MEA: § 16 II 1 WEG (Grundregel).</w:t>
      </w:r>
    </w:p>
    <w:p>
      <w:pPr>
        <w:pStyle w:val="ListBullet"/>
      </w:pPr>
      <w:r>
        <w:rPr>
          <w:b/>
        </w:rPr>
        <w:t>Abweichende Verteilungs-Beschlüsse</w:t>
      </w:r>
      <w:r>
        <w:t xml:space="preserve"> seit WEG-Reform 2020 deutlich erleichtert (§ 16 II 2 WEG n.F.): einfache Mehrheit.</w:t>
      </w:r>
    </w:p>
    <w:p>
      <w:pPr>
        <w:pStyle w:val="ListBullet"/>
      </w:pPr>
      <w:r>
        <w:rPr>
          <w:b/>
        </w:rPr>
        <w:t>Wichtig:</w:t>
      </w:r>
      <w:r>
        <w:t xml:space="preserve"> Verteilungs-Aenderungs-Beschluss </w:t>
      </w:r>
      <w:r>
        <w:rPr>
          <w:b/>
        </w:rPr>
        <w:t>für den konkreten Einzelfall</w:t>
      </w:r>
      <w:r>
        <w:t xml:space="preserve"> (BGH V ZR 128/23 v. 14.02.2025) — generelle Änderung Vereinsbeschluss-Mehrheit.</w:t>
      </w:r>
    </w:p>
    <w:p>
      <w:pPr>
        <w:pStyle w:val="ListBullet"/>
      </w:pPr>
      <w:r>
        <w:t>Heizkostenverteilung nach HeizkostenV: 70 % Verbrauch, 30 % Fläche (TE § 22 Abs. 3).</w:t>
      </w:r>
    </w:p>
    <w:p>
      <w:pPr>
        <w:pStyle w:val="Heading2"/>
      </w:pPr>
      <w:r>
        <w:rPr>
          <w:rFonts w:ascii="Times New Roman" w:hAnsi="Times New Roman"/>
        </w:rPr>
        <w:t>Konsequenzen für die Akte</w:t>
      </w:r>
    </w:p>
    <w:p>
      <w:pPr>
        <w:pStyle w:val="ListNumber"/>
      </w:pPr>
      <w:r>
        <w:rPr>
          <w:b/>
        </w:rPr>
        <w:t>Balkonsanierung</w:t>
      </w:r>
      <w:r>
        <w:t xml:space="preserve"> ist Gemeinschaftseigentum, Beschluss nach § 21 IV WEG, Mehrheit nach MEA.</w:t>
      </w:r>
    </w:p>
    <w:p>
      <w:pPr>
        <w:pStyle w:val="ListNumber"/>
      </w:pPr>
      <w:r>
        <w:rPr>
          <w:b/>
        </w:rPr>
        <w:t>Wallbox WE 19 Yildiz</w:t>
      </w:r>
      <w:r>
        <w:t xml:space="preserve"> ist privilegierte Veränderung § 20 II Nr. 2 WEG, Kostentragung Yildiz, Gemeinschaft muss Gestattung beschliessen.</w:t>
      </w:r>
    </w:p>
    <w:p>
      <w:pPr>
        <w:pStyle w:val="ListNumber"/>
      </w:pPr>
      <w:r>
        <w:rPr>
          <w:b/>
        </w:rPr>
        <w:t>Steckersolar fünf Anfragen</w:t>
      </w:r>
      <w:r>
        <w:t xml:space="preserve"> ist privilegierte Veränderung § 20 II Nr. 5 WEG n.F. (seit 01.10.2024 SteG-Reform) — Anspruch des einzelnen Eigentümers; Beschluss als Gestattung.</w:t>
      </w:r>
    </w:p>
    <w:p>
      <w:pPr>
        <w:pStyle w:val="ListNumber"/>
      </w:pPr>
      <w:r>
        <w:rPr>
          <w:b/>
        </w:rPr>
        <w:t>Heizungs-Kostenaufteilung</w:t>
      </w:r>
      <w:r>
        <w:t xml:space="preserve"> richtet sich nach HeizkostenV und CO2KostAufG (separat).</w:t>
      </w:r>
    </w:p>
    <w:p>
      <w:pPr>
        <w:pStyle w:val="ListNumber"/>
      </w:pPr>
      <w:r>
        <w:rPr>
          <w:b/>
        </w:rPr>
        <w:t>Stimmrecht Kopfprinzip</w:t>
      </w:r>
      <w:r>
        <w:t xml:space="preserve"> in TE strittig nach WEG-Reform — Beschlussfassung in 2026 vorsichtshalber </w:t>
      </w:r>
      <w:r>
        <w:rPr>
          <w:b/>
        </w:rPr>
        <w:t>beide Modi prüfen</w:t>
      </w:r>
      <w:r>
        <w:t xml:space="preserve"> (Wert + Kopf).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Notarin Dr. Berger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2"/>
      </w:rPr>
      <w:t>NOTARIN DR. BERGER</w:t>
    </w:r>
  </w:p>
  <w:p>
    <w:pPr>
      <w:jc w:val="left"/>
      <w:pBdr>
        <w:bottom w:val="single" w:sz="8" w:space="2" w:color="8A6A1F"/>
      </w:pBdr>
    </w:pPr>
    <w:r>
      <w:rPr>
        <w:rFonts w:ascii="Times New Roman" w:hAnsi="Times New Roman"/>
        <w:color w:val="6B6B66"/>
        <w:sz w:val="16"/>
      </w:rPr>
      <w:t>Berlin, UR-Nr. 187/1985 vom 14.03.1985, in Kraft 01.06.1985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