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Selbstständiges Beweisverfahren: Antrag und Strategie</w:t>
      </w:r>
    </w:p>
    <w:p>
      <w:pPr>
        <w:jc w:val="left"/>
      </w:pPr>
      <w:r>
        <w:rPr>
          <w:b/>
        </w:rPr>
        <w:t>Kanzlei Niedermair Baurecht Rosenheim — AZ NB-2026-0318</w:t>
      </w:r>
    </w:p>
    <w:p>
      <w:pPr>
        <w:jc w:val="left"/>
      </w:pPr>
      <w:r>
        <w:t>LG Traunstein — Az. selbst. Beweisverfahren: 2 OH 7/26</w:t>
      </w:r>
    </w:p>
    <w:p/>
    <w:p>
      <w:pPr>
        <w:pStyle w:val="Heading2"/>
      </w:pPr>
      <w:r>
        <w:rPr>
          <w:rFonts w:ascii="Times New Roman" w:hAnsi="Times New Roman"/>
        </w:rPr>
        <w:t>A. Überblick</w:t>
      </w:r>
    </w:p>
    <w:p>
      <w:pPr>
        <w:jc w:val="left"/>
      </w:pPr>
      <w:r>
        <w:t>Das selbstständige Beweisverfahren nach §§ 485 ff. ZPO dient der Sicherung von Beweisen, die im Hauptsacheverfahren verloren gehen oder schwer zu beschaffen sein könnten. Im Baurecht ist es das wichtigste Instrument zur Sicherung des Mängelbeweises, insbesondere wenn Mängelbeseitigungsmaßnahmen vorgenommen werden oder die Beweislage sich verschlechtert.</w:t>
      </w:r>
    </w:p>
    <w:p>
      <w:pPr>
        <w:jc w:val="left"/>
      </w:pPr>
      <w:r>
        <w:rPr>
          <w:b/>
        </w:rPr>
        <w:t>Antragstellerin:</w:t>
      </w:r>
      <w:r>
        <w:t xml:space="preserve"> Saalbau Wendelstein gGmbH, vertr. d. Monika Ehrhardt-Vogler</w:t>
      </w:r>
    </w:p>
    <w:p>
      <w:pPr>
        <w:jc w:val="left"/>
      </w:pPr>
      <w:r>
        <w:rPr>
          <w:b/>
        </w:rPr>
        <w:t>Antragsgegner:</w:t>
      </w:r>
      <w:r>
        <w:t xml:space="preserve"> Bauer-Hoch GmbH &amp; Co. KG</w:t>
      </w:r>
    </w:p>
    <w:p>
      <w:pPr>
        <w:jc w:val="left"/>
      </w:pPr>
      <w:r>
        <w:rPr>
          <w:b/>
        </w:rPr>
        <w:t>Verfahren:</w:t>
      </w:r>
      <w:r>
        <w:t xml:space="preserve"> Landgericht Traunstein, Az. 2 OH 7/26 (eingereicht 28.04.2026)</w:t>
      </w:r>
    </w:p>
    <w:p>
      <w:pPr>
        <w:jc w:val="left"/>
      </w:pPr>
      <w:r>
        <w:rPr>
          <w:b/>
        </w:rPr>
        <w:t>Beauftragte Anwältin:</w:t>
      </w:r>
      <w:r>
        <w:t xml:space="preserve"> RAin Dr. Henriette Niedermair</w:t>
      </w:r>
    </w:p>
    <w:p/>
    <w:p>
      <w:pPr>
        <w:pStyle w:val="Heading2"/>
      </w:pPr>
      <w:r>
        <w:rPr>
          <w:rFonts w:ascii="Times New Roman" w:hAnsi="Times New Roman"/>
        </w:rPr>
        <w:t>B. Beweisthemen</w:t>
      </w:r>
    </w:p>
    <w:p>
      <w:pPr>
        <w:jc w:val="left"/>
      </w:pPr>
      <w:r>
        <w:t>Die folgende Aufstellung der Beweisfragen orientiert sich an den Anforderungen des § 487 ZPO (Angabe des Beweisthemas) und der Rechtsprechung des BGH zur zulässigen Breite des selbstständigen Beweisverfahrens (BGH, Beschl. v. 16.09.2004 – VII ZB 23/03, NJW 2004, 3775).</w:t>
      </w:r>
    </w:p>
    <w:p>
      <w:pPr>
        <w:pStyle w:val="Heading3"/>
      </w:pPr>
      <w:r>
        <w:rPr>
          <w:rFonts w:ascii="Times New Roman" w:hAnsi="Times New Roman"/>
        </w:rPr>
        <w:t>Beweisfrage 1: Zustand Bodenplatte Werkstattgebäude</w:t>
      </w:r>
    </w:p>
    <w:p>
      <w:pPr>
        <w:ind w:left="567"/>
      </w:pPr>
      <w:r>
        <w:rPr>
          <w:i/>
        </w:rPr>
        <w:t>Welche Schäden (Risse, Feuchtigkeitsschäden) weist die Bodenplatte des Werkstattgebäudes (Baukörper 2) des Bauvorhabens Wittelsbacherstraße 102, 83022 Rosenheim, auf? In welchem Umfang sind Risse vorhanden, was sind ihre Breiten, Tiefen und räumliche Verteilung?</w:t>
      </w:r>
    </w:p>
    <w:p>
      <w:pPr>
        <w:pStyle w:val="Heading3"/>
      </w:pPr>
      <w:r>
        <w:rPr>
          <w:rFonts w:ascii="Times New Roman" w:hAnsi="Times New Roman"/>
        </w:rPr>
        <w:t>Beweisfrage 2: Ursache der Rissbildung</w:t>
      </w:r>
    </w:p>
    <w:p>
      <w:pPr>
        <w:ind w:left="567"/>
      </w:pPr>
      <w:r>
        <w:rPr>
          <w:i/>
        </w:rPr>
        <w:t>Beruhen die Risse auf mangelhafter Verdichtung des Schotterbetts (Unterbaus) und/oder mangelhafter Bewehrung der Bodenplatte? Entspricht der Verdichtungsgrad des Schotterbetts den vertraglichen Anforderungen (Leistungsverzeichnis Pos. 4.2.1: D ≥ 0,75 nach DIN 1054)? Entspricht die Bewehrung der Bodenplatte dem Bewehrungsplan, insbesondere hinsichtlich der Randstabbewehrung im Schachtbereich?</w:t>
      </w:r>
    </w:p>
    <w:p>
      <w:pPr>
        <w:pStyle w:val="Heading3"/>
      </w:pPr>
      <w:r>
        <w:rPr>
          <w:rFonts w:ascii="Times New Roman" w:hAnsi="Times New Roman"/>
        </w:rPr>
        <w:t>Beweisfrage 3: Heizungsanlage</w:t>
      </w:r>
    </w:p>
    <w:p>
      <w:pPr>
        <w:ind w:left="567"/>
      </w:pPr>
      <w:r>
        <w:rPr>
          <w:i/>
        </w:rPr>
        <w:t>Ist die Fußbodenheizung des Werkstattgebäudes funktionstüchtig? In welchem Heizkreis oder in welchen Heizkreisen liegen Undichtigkeiten oder Defekte vor? Welche Ursache haben diese Defekte?</w:t>
      </w:r>
    </w:p>
    <w:p>
      <w:pPr>
        <w:pStyle w:val="Heading3"/>
      </w:pPr>
      <w:r>
        <w:rPr>
          <w:rFonts w:ascii="Times New Roman" w:hAnsi="Times New Roman"/>
        </w:rPr>
        <w:t>Beweisfrage 4: Schachtabdichtung</w:t>
      </w:r>
    </w:p>
    <w:p>
      <w:pPr>
        <w:ind w:left="567"/>
      </w:pPr>
      <w:r>
        <w:rPr>
          <w:i/>
        </w:rPr>
        <w:t>Entspricht die Abdichtung der Entwässerungsschächte S3 und S7 den Anforderungen nach DIN 18533 und den vertraglichen Leistungsbeschreibungen (LV Pos. 14.2.1, 14.2.3)? Liegen Abdichtungsmängel vor?</w:t>
      </w:r>
    </w:p>
    <w:p>
      <w:pPr>
        <w:pStyle w:val="Heading3"/>
      </w:pPr>
      <w:r>
        <w:rPr>
          <w:rFonts w:ascii="Times New Roman" w:hAnsi="Times New Roman"/>
        </w:rPr>
        <w:t>Beweisfrage 5: Brandschutz und Notbeleuchtung</w:t>
      </w:r>
    </w:p>
    <w:p>
      <w:pPr>
        <w:ind w:left="567"/>
      </w:pPr>
      <w:r>
        <w:rPr>
          <w:i/>
        </w:rPr>
        <w:t>Ist die Brandschutzabdichtung an der Kabeldurchführung KD-03 (Technikraum Werkstattgebäude) vorschriftsmäßig ausgeführt? Entspricht die Notbeleuchtungsanlage (NK-4, NK-7) den Anforderungen der ArbStättV und ASR A3.4/3?</w:t>
      </w:r>
    </w:p>
    <w:p>
      <w:pPr>
        <w:pStyle w:val="Heading3"/>
      </w:pPr>
      <w:r>
        <w:rPr>
          <w:rFonts w:ascii="Times New Roman" w:hAnsi="Times New Roman"/>
        </w:rPr>
        <w:t>Beweisfrage 6: Bodenkontamination Lagerhalle</w:t>
      </w:r>
    </w:p>
    <w:p>
      <w:pPr>
        <w:ind w:left="567"/>
      </w:pPr>
      <w:r>
        <w:rPr>
          <w:i/>
        </w:rPr>
        <w:t>Welche Schadstoffe (Cyanide, Schwermetalle, PAK, MKW) sind auf dem Grundstück des Bauvorhabens, Lagerhallen-Bereich (Baukörper 3), in welchen Tiefen und Mengen vorhanden? Welches Sanierungskonzept ist nach BBodSchG erforderlich? Was ist der Stand der Kontaminationsausbreitung?</w:t>
      </w:r>
    </w:p>
    <w:p/>
    <w:p>
      <w:pPr>
        <w:pStyle w:val="Heading2"/>
      </w:pPr>
      <w:r>
        <w:rPr>
          <w:rFonts w:ascii="Times New Roman" w:hAnsi="Times New Roman"/>
        </w:rPr>
        <w:t>C. Antrag an das Gericht</w:t>
      </w:r>
    </w:p>
    <w:p>
      <w:pPr>
        <w:jc w:val="left"/>
      </w:pPr>
      <w:r>
        <w:rPr>
          <w:b/>
        </w:rPr>
        <w:t>Antragstellerin</w:t>
      </w:r>
      <w:r>
        <w:t xml:space="preserve"> beantragt, gemäß §§ 485, 486, 487 ZPO:</w:t>
      </w:r>
    </w:p>
    <w:p>
      <w:pPr>
        <w:pStyle w:val="ListNumber"/>
      </w:pPr>
      <w:r>
        <w:t>Einen gerichtlichen Sachverständigen für Schäden an Gebäuden und Baukonstruktionen zu bestellen, der die Beweisfragen 1–5 begutachtet.</w:t>
      </w:r>
    </w:p>
    <w:p>
      <w:pPr>
        <w:pStyle w:val="ListNumber"/>
      </w:pPr>
      <w:r>
        <w:t>Einen gerichtlichen Sachverständigen für Bodenkunde und Altlasten zu bestellen, der die Beweisfrage 6 begutachtet.</w:t>
      </w:r>
    </w:p>
    <w:p>
      <w:pPr>
        <w:pStyle w:val="ListNumber"/>
      </w:pPr>
      <w:r>
        <w:t>Den Antragsgegner zu verpflichten, die Begehung des Bauvorhabens zu ermöglichen und sämtliche baubegleitenden Unterlagen (Baustageberichte, Prüfprotokolle, Messprotokolle, Lieferscheine) zur Verfügung zu stellen.</w:t>
      </w:r>
    </w:p>
    <w:p>
      <w:pPr>
        <w:jc w:val="left"/>
      </w:pPr>
      <w:r>
        <w:rPr>
          <w:b/>
        </w:rPr>
        <w:t>Begründung der Dringlichkeit:</w:t>
      </w:r>
      <w:r>
        <w:t xml:space="preserve"> Die Bodenplatte zeigt fortschreitende Feuchteschäden; die Beweissicherung ist dringend, da durch Mängelbeseitigungsmaßnahmen Beweise verloren gehen könnten. Die Lagerhallen-Kontamination ist durch behördlichen Aushubstopp eingefroren; das Beweissicherungsinteresse betrifft den Zustand vor Sanierungsbeginn.</w:t>
      </w:r>
    </w:p>
    <w:p/>
    <w:p>
      <w:pPr>
        <w:pStyle w:val="Heading2"/>
      </w:pPr>
      <w:r>
        <w:rPr>
          <w:rFonts w:ascii="Times New Roman" w:hAnsi="Times New Roman"/>
        </w:rPr>
        <w:t>D. Sachverständigenvorschläge</w:t>
      </w:r>
    </w:p>
    <w:p>
      <w:pPr>
        <w:jc w:val="left"/>
      </w:pPr>
      <w:r>
        <w:t>Die Antragstellerin schlägt vor (§ 486 Abs. 2 ZPO):</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Funktion</w:t>
            </w:r>
          </w:p>
        </w:tc>
        <w:tc>
          <w:tcPr>
            <w:tcW w:type="dxa" w:w="4536"/>
          </w:tcPr>
          <w:p>
            <w:r>
              <w:rPr>
                <w:rFonts w:ascii="Times New Roman" w:hAnsi="Times New Roman"/>
                <w:b/>
                <w:sz w:val="20"/>
              </w:rPr>
              <w:t>Vorgeschlagene Person</w:t>
            </w:r>
          </w:p>
        </w:tc>
      </w:tr>
      <w:tr>
        <w:tc>
          <w:tcPr>
            <w:tcW w:type="dxa" w:w="4536"/>
          </w:tcPr>
          <w:p>
            <w:r>
              <w:rPr>
                <w:rFonts w:ascii="Times New Roman" w:hAnsi="Times New Roman"/>
                <w:sz w:val="20"/>
              </w:rPr>
              <w:t>SV Gebäudeschäden (BF 1–5)</w:t>
            </w:r>
          </w:p>
        </w:tc>
        <w:tc>
          <w:tcPr>
            <w:tcW w:type="dxa" w:w="4536"/>
          </w:tcPr>
          <w:p>
            <w:r>
              <w:rPr>
                <w:rFonts w:ascii="Times New Roman" w:hAnsi="Times New Roman"/>
                <w:sz w:val="20"/>
              </w:rPr>
              <w:t>Prof. Dr.-Ing. Manfred Seibold, TU München</w:t>
            </w:r>
          </w:p>
        </w:tc>
      </w:tr>
      <w:tr>
        <w:tc>
          <w:tcPr>
            <w:tcW w:type="dxa" w:w="4536"/>
          </w:tcPr>
          <w:p>
            <w:r>
              <w:rPr>
                <w:rFonts w:ascii="Times New Roman" w:hAnsi="Times New Roman"/>
                <w:sz w:val="20"/>
              </w:rPr>
              <w:t>SV Altlasten/Bodenkunde (BF 6)</w:t>
            </w:r>
          </w:p>
        </w:tc>
        <w:tc>
          <w:tcPr>
            <w:tcW w:type="dxa" w:w="4536"/>
          </w:tcPr>
          <w:p>
            <w:r>
              <w:rPr>
                <w:rFonts w:ascii="Times New Roman" w:hAnsi="Times New Roman"/>
                <w:sz w:val="20"/>
              </w:rPr>
              <w:t>Dr.-Ing. Dieter Schreiber, Gutachterbüro Schreiber &amp; Partner, Augsburg</w:t>
            </w:r>
          </w:p>
        </w:tc>
      </w:tr>
    </w:tbl>
    <w:p/>
    <w:p>
      <w:pPr>
        <w:pStyle w:val="Heading2"/>
      </w:pPr>
      <w:r>
        <w:rPr>
          <w:rFonts w:ascii="Times New Roman" w:hAnsi="Times New Roman"/>
        </w:rPr>
        <w:t>E. Prozessuale Besonderheiten</w:t>
      </w:r>
    </w:p>
    <w:p>
      <w:pPr>
        <w:pStyle w:val="Heading3"/>
      </w:pPr>
      <w:r>
        <w:rPr>
          <w:rFonts w:ascii="Times New Roman" w:hAnsi="Times New Roman"/>
        </w:rPr>
        <w:t>Verhältnis zum Schiedsgutachten</w:t>
      </w:r>
    </w:p>
    <w:p>
      <w:pPr>
        <w:jc w:val="left"/>
      </w:pPr>
      <w:r>
        <w:t>Das selbstständige Beweisverfahren ist von der Schiedsgutachterklausel im GU-Vertrag (§ 17.1) nicht betroffen. Die Schiedsklausel bezieht sich auf „Streitigkeiten über technische Ausführungsanforderungen", nicht auf gerichtliche Beweissicherungsmaßnahmen. Der BGH hat klargestellt, dass Schiedsklauseln das selbstständige Beweisverfahren grundsätzlich nicht ausschließen können (BGH, Urt. v. 14.01.2016 – VII ZB 39/15).</w:t>
      </w:r>
    </w:p>
    <w:p>
      <w:pPr>
        <w:pStyle w:val="Heading3"/>
      </w:pPr>
      <w:r>
        <w:rPr>
          <w:rFonts w:ascii="Times New Roman" w:hAnsi="Times New Roman"/>
        </w:rPr>
        <w:t>Kostentragung</w:t>
      </w:r>
    </w:p>
    <w:p>
      <w:pPr>
        <w:jc w:val="left"/>
      </w:pPr>
      <w:r>
        <w:t>Im selbstständigen Beweisverfahren trägt zunächst die Antragstellerin die Kosten (Vorschuss). Im Hauptsacheverfahren können die Kosten als Teil der Verfahrenskosten erstattet verlangt werden.</w:t>
      </w:r>
    </w:p>
    <w:p>
      <w:pPr>
        <w:jc w:val="left"/>
      </w:pPr>
      <w:r>
        <w:rPr>
          <w:i/>
        </w:rPr>
        <w:t>Bearbeiterin: RAin Dr. Henriette Niedermair, Stand 28.04.2026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Saalbau Wendelstein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Saalbau Wendelstein gGmbH</w:t>
    </w:r>
  </w:p>
  <w:p>
    <w:pPr>
      <w:jc w:val="left"/>
      <w:pBdr>
        <w:bottom w:val="single" w:sz="6" w:space="2" w:color="1F3864"/>
      </w:pBdr>
    </w:pPr>
    <w:r>
      <w:rPr>
        <w:rFonts w:ascii="Times New Roman" w:hAnsi="Times New Roman"/>
        <w:color w:val="6B6B66"/>
        <w:sz w:val="16"/>
      </w:rPr>
      <w:t>vertr. d. Monika Ehrhardt-Vogler · Az. selbst. Beweisverfahren: 2 OH 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