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12 — Klageschrift LG Traunstein: Entwurf (Az. 2 O 318/26)</w:t>
      </w:r>
    </w:p>
    <w:p>
      <w:pPr>
        <w:jc w:val="left"/>
      </w:pPr>
      <w:r>
        <w:rPr>
          <w:b/>
        </w:rPr>
        <w:t>Kanzlei Niedermair Baurecht Rosenheim — AZ NB-2026-0318</w:t>
      </w:r>
    </w:p>
    <w:p>
      <w:pPr>
        <w:jc w:val="left"/>
      </w:pPr>
      <w:r>
        <w:rPr>
          <w:i/>
        </w:rPr>
        <w:t>Entwurf — noch nicht eingereicht</w:t>
      </w:r>
    </w:p>
    <w:p/>
    <w:p>
      <w:pPr>
        <w:pStyle w:val="Heading2"/>
      </w:pPr>
      <w:r>
        <w:rPr>
          <w:rFonts w:ascii="Times New Roman" w:hAnsi="Times New Roman"/>
        </w:rPr>
        <w:t>KLAGESCHRIFT</w:t>
      </w:r>
    </w:p>
    <w:p>
      <w:pPr>
        <w:jc w:val="left"/>
      </w:pPr>
      <w:r>
        <w:rPr>
          <w:b/>
        </w:rPr>
        <w:t>An das</w:t>
      </w:r>
    </w:p>
    <w:p>
      <w:pPr>
        <w:jc w:val="left"/>
      </w:pPr>
      <w:r>
        <w:rPr>
          <w:b/>
        </w:rPr>
        <w:t>Landgericht Traunstein</w:t>
      </w:r>
    </w:p>
    <w:p>
      <w:pPr>
        <w:jc w:val="left"/>
      </w:pPr>
      <w:r>
        <w:rPr>
          <w:b/>
        </w:rPr>
        <w:t>— Zivilkammer —</w:t>
      </w:r>
    </w:p>
    <w:p>
      <w:pPr>
        <w:jc w:val="left"/>
      </w:pPr>
      <w:r>
        <w:t>Münchener Straße 22</w:t>
      </w:r>
    </w:p>
    <w:p>
      <w:pPr>
        <w:jc w:val="left"/>
      </w:pPr>
      <w:r>
        <w:t>83278 Traunstein</w:t>
      </w:r>
    </w:p>
    <w:p/>
    <w:p>
      <w:pPr>
        <w:jc w:val="left"/>
      </w:pPr>
      <w:r>
        <w:rPr>
          <w:b/>
        </w:rPr>
        <w:t>Klägerin:</w:t>
      </w:r>
    </w:p>
    <w:p>
      <w:pPr>
        <w:jc w:val="left"/>
      </w:pPr>
      <w:r>
        <w:t>Saalbau Wendelstein gGmbH</w:t>
      </w:r>
    </w:p>
    <w:p>
      <w:pPr>
        <w:jc w:val="left"/>
      </w:pPr>
      <w:r>
        <w:t>Wittelsbacherstraße 102</w:t>
      </w:r>
    </w:p>
    <w:p>
      <w:pPr>
        <w:jc w:val="left"/>
      </w:pPr>
      <w:r>
        <w:t>83022 Rosenheim</w:t>
      </w:r>
    </w:p>
    <w:p>
      <w:pPr>
        <w:jc w:val="left"/>
      </w:pPr>
      <w:r>
        <w:t>— vertreten durch Geschäftsführerin Monika Ehrhardt-Vogler —</w:t>
      </w:r>
    </w:p>
    <w:p>
      <w:pPr>
        <w:jc w:val="left"/>
      </w:pPr>
      <w:r>
        <w:rPr>
          <w:b/>
        </w:rPr>
        <w:t>Prozessbevollmächtigte:</w:t>
      </w:r>
      <w:r>
        <w:t xml:space="preserve"> RAin Dr. Henriette Niedermair, Kanzlei Niedermair Baurecht, Ludwigstraße 18, 83022 Rosenheim</w:t>
      </w:r>
    </w:p>
    <w:p>
      <w:pPr>
        <w:jc w:val="left"/>
      </w:pPr>
      <w:r>
        <w:rPr>
          <w:b/>
        </w:rPr>
        <w:t>Beklagte:</w:t>
      </w:r>
    </w:p>
    <w:p>
      <w:pPr>
        <w:jc w:val="left"/>
      </w:pPr>
      <w:r>
        <w:t>Bauer-Hoch GmbH &amp; Co. KG</w:t>
      </w:r>
    </w:p>
    <w:p>
      <w:pPr>
        <w:jc w:val="left"/>
      </w:pPr>
      <w:r>
        <w:t>Traunsteiner Straße 88</w:t>
      </w:r>
    </w:p>
    <w:p>
      <w:pPr>
        <w:jc w:val="left"/>
      </w:pPr>
      <w:r>
        <w:t>83278 Traunstein</w:t>
      </w:r>
    </w:p>
    <w:p>
      <w:pPr>
        <w:jc w:val="left"/>
      </w:pPr>
      <w:r>
        <w:t>— vertreten durch Komplementärin Bauer-Hoch Verwaltungs-GmbH, diese vertreten durch Geschäftsführer Wolfgang Bauer und Martin Hochmeister —</w:t>
      </w:r>
    </w:p>
    <w:p/>
    <w:p>
      <w:pPr>
        <w:pStyle w:val="Heading3"/>
      </w:pPr>
      <w:r>
        <w:rPr>
          <w:rFonts w:ascii="Times New Roman" w:hAnsi="Times New Roman"/>
        </w:rPr>
        <w:t>Vorläufiger Streitwert: 480.000 EUR</w:t>
      </w:r>
    </w:p>
    <w:p/>
    <w:p>
      <w:pPr>
        <w:pStyle w:val="Heading2"/>
      </w:pPr>
      <w:r>
        <w:rPr>
          <w:rFonts w:ascii="Times New Roman" w:hAnsi="Times New Roman"/>
        </w:rPr>
        <w:t>KLAGEANTRAG</w:t>
      </w:r>
    </w:p>
    <w:p>
      <w:pPr>
        <w:jc w:val="left"/>
      </w:pPr>
      <w:r>
        <w:t>Die Beklagte wird verurteilt:</w:t>
      </w:r>
    </w:p>
    <w:p>
      <w:pPr>
        <w:jc w:val="left"/>
      </w:pPr>
      <w:r>
        <w:rPr>
          <w:b/>
        </w:rPr>
        <w:t>1. Mängelbeseitigung:</w:t>
      </w:r>
    </w:p>
    <w:p>
      <w:pPr>
        <w:jc w:val="left"/>
      </w:pPr>
      <w:r>
        <w:t>Die Beklagte wird verurteilt, die an dem Werkstattgebäude (Baukörper 2) des Bauvorhabens Saalbau Wendelstein gGmbH, Wittelsbacherstraße 102, 83022 Rosenheim, festgestellten Baumängel — insbesondere die Rissbildung in der Bodenplatte, den Ausfall der Fußbodenheizung Heizkreis 3, die undichten Schächte S3 und S7, die fehlende Brandschutzabdichtung KD-03 und die nicht angeschlossene Notbeleuchtung NK-4 und NK-7 — zu beseitigen.</w:t>
      </w:r>
    </w:p>
    <w:p>
      <w:pPr>
        <w:jc w:val="left"/>
      </w:pPr>
      <w:r>
        <w:rPr>
          <w:b/>
        </w:rPr>
        <w:t>2. Zahlung:</w:t>
      </w:r>
    </w:p>
    <w:p>
      <w:pPr>
        <w:jc w:val="left"/>
      </w:pPr>
      <w:r>
        <w:t>Die Beklagte wird verurteilt, an die Klägerin 180.200,00 EUR nebst Zinsen in Höhe von 9 Prozentpunkten über dem Basiszinssatz seit dem 01. Juli 2026 zu zahlen, hilfsweise die zur Mängelbeseitigung erforderlichen Kosten nach Feststellung des gerichtlichen Sachverständigen.</w:t>
      </w:r>
    </w:p>
    <w:p>
      <w:pPr>
        <w:jc w:val="left"/>
      </w:pPr>
      <w:r>
        <w:rPr>
          <w:b/>
        </w:rPr>
        <w:t>3. Feststellung:</w:t>
      </w:r>
    </w:p>
    <w:p>
      <w:pPr>
        <w:jc w:val="left"/>
      </w:pPr>
      <w:r>
        <w:t>Es wird festgestellt, dass die Beklagte verpflichtet ist, der Klägerin alle zukünftigen Schäden zu ersetzen, die durch die Mängel der Bodenplatte, der Fußbodenheizung und der Schächte des Werkstattgebäudes entstehen.</w:t>
      </w:r>
    </w:p>
    <w:p>
      <w:pPr>
        <w:jc w:val="left"/>
      </w:pPr>
      <w:r>
        <w:rPr>
          <w:b/>
        </w:rPr>
        <w:t>4. Kosten:</w:t>
      </w:r>
    </w:p>
    <w:p>
      <w:pPr>
        <w:jc w:val="left"/>
      </w:pPr>
      <w:r>
        <w:t>Die Beklagte trägt die Kosten des Rechtsstreits.</w:t>
      </w:r>
    </w:p>
    <w:p/>
    <w:p>
      <w:pPr>
        <w:pStyle w:val="Heading2"/>
      </w:pPr>
      <w:r>
        <w:rPr>
          <w:rFonts w:ascii="Times New Roman" w:hAnsi="Times New Roman"/>
        </w:rPr>
        <w:t>BEGRÜNDUNG</w:t>
      </w:r>
    </w:p>
    <w:p>
      <w:pPr>
        <w:pStyle w:val="Heading3"/>
      </w:pPr>
      <w:r>
        <w:rPr>
          <w:rFonts w:ascii="Times New Roman" w:hAnsi="Times New Roman"/>
        </w:rPr>
        <w:t>I. Parteien und Vertragsverhältnis</w:t>
      </w:r>
    </w:p>
    <w:p>
      <w:pPr>
        <w:pStyle w:val="ListNumber"/>
      </w:pPr>
      <w:r>
        <w:t>Die Klägerin, die Saalbau Wendelstein gGmbH, ist eine gemeinnützige Gesellschaft mit beschränkter Haftung mit Sitz in Rosenheim, eingetragen im Handelsregister beim Amtsgericht Rosenheim unter HRB 14 887. Zweck der Gesellschaft ist der Betrieb von Kulturveranstaltungsstätten. Alleinige Gesellschafterin ist die Stadt Rosenheim.</w:t>
      </w:r>
    </w:p>
    <w:p>
      <w:pPr>
        <w:pStyle w:val="ListNumber"/>
      </w:pPr>
      <w:r>
        <w:t>Die Beklagte, die Bauer-Hoch GmbH &amp; Co. KG, ist ein Bauunternehmen mit Sitz in Traunstein, eingetragen im Handelsregister beim Amtsgericht Traunstein unter HRA 7 341.</w:t>
      </w:r>
    </w:p>
    <w:p>
      <w:pPr>
        <w:pStyle w:val="ListNumber"/>
      </w:pPr>
      <w:r>
        <w:t>Die Parteien schlossen am 12. Juli 2023 einen Generalunternehmervertrag (GU-Vertrag) auf der Grundlage der VOB/B. Vertragsgegenstand war der schlüsselfertige Neubau von Probesaal (Baukörper 1), Werkstätten (Baukörper 2) und Lagerhalle (Baukörper 3) auf dem Grundstück Wittelsbacherstraße 102, 83022 Rosenheim.</w:t>
      </w:r>
    </w:p>
    <w:p>
      <w:pPr>
        <w:jc w:val="left"/>
      </w:pPr>
      <w:r>
        <w:rPr>
          <w:b/>
        </w:rPr>
        <w:t>Beweis:</w:t>
      </w:r>
      <w:r>
        <w:t xml:space="preserve"> GU-Vertrag vom 12.07.2023 (Anlage K 1)</w:t>
      </w:r>
    </w:p>
    <w:p>
      <w:pPr>
        <w:pStyle w:val="ListNumber"/>
      </w:pPr>
      <w:r>
        <w:t>Das vereinbarte Pauschalhonorar betrug 4.280.000 EUR netto (5.093.200 EUR brutto). Die Klägerin hat bisher 3.450.000 EUR netto bezahlt.</w:t>
      </w:r>
    </w:p>
    <w:p>
      <w:pPr>
        <w:pStyle w:val="Heading3"/>
      </w:pPr>
      <w:r>
        <w:rPr>
          <w:rFonts w:ascii="Times New Roman" w:hAnsi="Times New Roman"/>
        </w:rPr>
        <w:t>II. Festgestellte Mängel</w:t>
      </w:r>
    </w:p>
    <w:p>
      <w:pPr>
        <w:pStyle w:val="ListNumber"/>
      </w:pPr>
      <w:r>
        <w:t>Im Februar 2026 wurden an der Bodenplatte des Werkstattgebäudes erste Risse festgestellt. Die Klägerin beauftragte den öffentlich bestellten und vereidigten Sachverständigen Dipl.-Ing. Helmut Riedhof, der nach Begehungen am 22. Februar und 01. März 2026 sein Gutachten am 02. April 2026 erstattet hat.</w:t>
      </w:r>
    </w:p>
    <w:p>
      <w:pPr>
        <w:jc w:val="left"/>
      </w:pPr>
      <w:r>
        <w:rPr>
          <w:b/>
        </w:rPr>
        <w:t>Beweis:</w:t>
      </w:r>
      <w:r>
        <w:t xml:space="preserve"> Gutachten SV Riedhof vom 02.04.2026 (Anlage K 2)</w:t>
      </w:r>
    </w:p>
    <w:p>
      <w:pPr>
        <w:pStyle w:val="ListNumber"/>
      </w:pPr>
      <w:r>
        <w:t>Das Gutachten stellt folgende Mängel fest:</w:t>
      </w:r>
    </w:p>
    <w:p>
      <w:pPr>
        <w:jc w:val="left"/>
      </w:pPr>
      <w:r>
        <w:rPr>
          <w:b/>
        </w:rPr>
        <w:t>a) Bodenplatte:</w:t>
      </w:r>
    </w:p>
    <w:p>
      <w:pPr>
        <w:jc w:val="left"/>
      </w:pPr>
      <w:r>
        <w:t>Es wurden 14 Risse mit Rissbreiten von 0,2 bis 1,4 mm dokumentiert, davon 6 durchgehende Risse. Ursache: Verdichtungsgrad des Schotterbetts D = 0,55 statt vertraglich geforderter D ≥ 0,75 (§ 4 Abs. 2 VOB/B; LV Pos. 4.2.1); fehlende Randstabbewehrung ⌀ 14 mm im Schachtbereich entgegen Bewehrungsplan Pos. 3.1.</w:t>
      </w:r>
    </w:p>
    <w:p>
      <w:pPr>
        <w:jc w:val="left"/>
      </w:pPr>
      <w:r>
        <w:rPr>
          <w:b/>
        </w:rPr>
        <w:t>Beweis:</w:t>
      </w:r>
      <w:r>
        <w:t xml:space="preserve"> Gutachten Riedhof, S. 12–24, Rissplan Anlage 4 zum Gutachten; Sachverständiger Riedhof, zu laden c/o Sachverständigenbüro Riedhof, Am Kirchplatz 3, 83435 Bad Reichenhall</w:t>
      </w:r>
    </w:p>
    <w:p>
      <w:pPr>
        <w:jc w:val="left"/>
      </w:pPr>
      <w:r>
        <w:rPr>
          <w:b/>
        </w:rPr>
        <w:t>b) Fußbodenheizung:</w:t>
      </w:r>
    </w:p>
    <w:p>
      <w:pPr>
        <w:jc w:val="left"/>
      </w:pPr>
      <w:r>
        <w:t>Der Heizkreis 3 (Raum Metallwerkstatt, ca. 180 m²) ist vollständig ausgefallen. Die Metallwerkstatt war in den Wintermonaten 2025/2026 nicht beheizbar.</w:t>
      </w:r>
    </w:p>
    <w:p>
      <w:pPr>
        <w:jc w:val="left"/>
      </w:pPr>
      <w:r>
        <w:rPr>
          <w:b/>
        </w:rPr>
        <w:t>Beweis:</w:t>
      </w:r>
      <w:r>
        <w:t xml:space="preserve"> Gutachten Riedhof, S. 28–31; Sachverständiger</w:t>
      </w:r>
    </w:p>
    <w:p>
      <w:pPr>
        <w:jc w:val="left"/>
      </w:pPr>
      <w:r>
        <w:rPr>
          <w:b/>
        </w:rPr>
        <w:t>c) Schächte:</w:t>
      </w:r>
    </w:p>
    <w:p>
      <w:pPr>
        <w:jc w:val="left"/>
      </w:pPr>
      <w:r>
        <w:t>Die Schächte S3 und S7 sind undicht. Die Abdichtung entspricht nicht DIN 18533. Bei Schacht S3 wurde ein Wassereintritt von 0,28 L/h gemessen.</w:t>
      </w:r>
    </w:p>
    <w:p>
      <w:pPr>
        <w:jc w:val="left"/>
      </w:pPr>
      <w:r>
        <w:rPr>
          <w:b/>
        </w:rPr>
        <w:t>Beweis:</w:t>
      </w:r>
      <w:r>
        <w:t xml:space="preserve"> Gutachten Riedhof, S. 33–36; Sachverständiger</w:t>
      </w:r>
    </w:p>
    <w:p>
      <w:pPr>
        <w:jc w:val="left"/>
      </w:pPr>
      <w:r>
        <w:rPr>
          <w:b/>
        </w:rPr>
        <w:t>d) Brandschutz und Elektro:</w:t>
      </w:r>
    </w:p>
    <w:p>
      <w:pPr>
        <w:jc w:val="left"/>
      </w:pPr>
      <w:r>
        <w:t>Kabeldurchführung KD-03 ohne Brandschutzabdichtung; Bühnen-Stromschienen nicht geerdet (Elektroprüfung 12.03.2026 negativ); Notbeleuchtung NK-4 und NK-7 nicht angeschlossen.</w:t>
      </w:r>
    </w:p>
    <w:p>
      <w:pPr>
        <w:jc w:val="left"/>
      </w:pPr>
      <w:r>
        <w:rPr>
          <w:b/>
        </w:rPr>
        <w:t>Beweis:</w:t>
      </w:r>
      <w:r>
        <w:t xml:space="preserve"> Elektroprüfprotokoll vom 12.03.2026 (Anlage K 3); Notbeleuchtungsprotokoll (Anlage K 4)</w:t>
      </w:r>
    </w:p>
    <w:p>
      <w:pPr>
        <w:pStyle w:val="Heading3"/>
      </w:pPr>
      <w:r>
        <w:rPr>
          <w:rFonts w:ascii="Times New Roman" w:hAnsi="Times New Roman"/>
        </w:rPr>
        <w:t>III. Mängelrüge und Fristsetzung</w:t>
      </w:r>
    </w:p>
    <w:p>
      <w:pPr>
        <w:pStyle w:val="ListNumber"/>
      </w:pPr>
      <w:r>
        <w:t>Die Klägerin hat die Beklagte mit Mängelliste vom 14. April 2026 förmlich in Kenntnis gesetzt und die Abnahme verweigert.</w:t>
      </w:r>
    </w:p>
    <w:p>
      <w:pPr>
        <w:jc w:val="left"/>
      </w:pPr>
      <w:r>
        <w:rPr>
          <w:b/>
        </w:rPr>
        <w:t>Beweis:</w:t>
      </w:r>
      <w:r>
        <w:t xml:space="preserve"> Mängelliste 14.04.2026 mit Übergabequittung (Anlage K 5)</w:t>
      </w:r>
    </w:p>
    <w:p>
      <w:pPr>
        <w:pStyle w:val="ListNumber"/>
      </w:pPr>
      <w:r>
        <w:t>Die Kanzlei Niedermair hat im Namen der Klägerin mit Schreiben vom 22. April 2026 Fristsetzung zur Nacherfüllung gesetzt:</w:t>
      </w:r>
    </w:p>
    <w:p>
      <w:pPr>
        <w:pStyle w:val="ListBullet"/>
      </w:pPr>
      <w:r>
        <w:t>Kritische Mängel: Frist bis 30.05.2026</w:t>
      </w:r>
    </w:p>
    <w:p>
      <w:pPr>
        <w:pStyle w:val="ListBullet"/>
      </w:pPr>
      <w:r>
        <w:t>Erhebliche Mängel: Frist bis 15.06.2026</w:t>
      </w:r>
    </w:p>
    <w:p>
      <w:pPr>
        <w:pStyle w:val="ListNumber"/>
      </w:pPr>
      <w:r>
        <w:t>Die Beklagte hat mit Schreiben ihres Prozessbevollmächtigten vom 29. April 2026 die wesentlichen Mängelrügen — insbesondere die Rissbildung, den Heizkreisausfall und die Schachtundichtigkeiten — zurückgewiesen. Lediglich die optischen Mängel M-06, M-08, M-13 und M-16 wurden anerkannt.</w:t>
      </w:r>
    </w:p>
    <w:p>
      <w:pPr>
        <w:jc w:val="left"/>
      </w:pPr>
      <w:r>
        <w:rPr>
          <w:b/>
        </w:rPr>
        <w:t>Beweis:</w:t>
      </w:r>
      <w:r>
        <w:t xml:space="preserve"> Schreiben RA Strohmayer vom 29.04.2026 (Anlage K 6)</w:t>
      </w:r>
    </w:p>
    <w:p>
      <w:pPr>
        <w:pStyle w:val="ListNumber"/>
      </w:pPr>
      <w:r>
        <w:t>Die Fristen sind abgelaufen; die Beklagte hat die streitgegenständlichen Mängel nicht beseitigt.</w:t>
      </w:r>
    </w:p>
    <w:p>
      <w:pPr>
        <w:pStyle w:val="Heading3"/>
      </w:pPr>
      <w:r>
        <w:rPr>
          <w:rFonts w:ascii="Times New Roman" w:hAnsi="Times New Roman"/>
        </w:rPr>
        <w:t>IV. Rechtliche Grundlage</w:t>
      </w:r>
    </w:p>
    <w:p>
      <w:pPr>
        <w:pStyle w:val="ListNumber"/>
      </w:pPr>
      <w:r>
        <w:t>Der Anspruch der Klägerin auf Nacherfüllung (Mängelbeseitigung) ergibt sich aus § 13 Abs. 5 Nr. 1 VOB/B in Verbindung mit dem GU-Vertrag.</w:t>
      </w:r>
    </w:p>
    <w:p>
      <w:pPr>
        <w:pStyle w:val="ListNumber"/>
      </w:pPr>
      <w:r>
        <w:t>Der Anspruch auf Schadensersatz i.H.v. 180.200 EUR (Riedhof-Kostenschätzung) ergibt sich aus § 13 Abs. 5 Nr. 2, Abs. 7 VOB/B (Selbstvornahmerecht nach Fristablauf; Schadensersatz für Nutzungsausfall und Sachverständigenkosten). Die Klägerin hat sich entschieden, zunächst Klage auf Zahlung des zur Mängelbeseitigung erforderlichen Betrags zu erheben und die Mängelbeseitigung durch Dritte vornehmen zu lassen.</w:t>
      </w:r>
    </w:p>
    <w:p>
      <w:pPr>
        <w:pStyle w:val="ListNumber"/>
      </w:pPr>
      <w:r>
        <w:t>Die Verjährung ist gehemmt durch das selbstständige Beweisverfahren Az. 2 OH 7/26 LG Traunstein (§ 204 Abs. 1 Nr. 7 BGB).</w:t>
      </w:r>
    </w:p>
    <w:p>
      <w:pPr>
        <w:pStyle w:val="ListNumber"/>
      </w:pPr>
      <w:r>
        <w:t>Der Feststellungsantrag ist nach § 256 ZPO zulässig, da nicht alle zukünftigen Schäden bezifferbar sind.</w:t>
      </w:r>
    </w:p>
    <w:p>
      <w:pPr>
        <w:pStyle w:val="Heading3"/>
      </w:pPr>
      <w:r>
        <w:rPr>
          <w:rFonts w:ascii="Times New Roman" w:hAnsi="Times New Roman"/>
        </w:rPr>
        <w:t>V. Gerichtsstand</w:t>
      </w:r>
    </w:p>
    <w:p>
      <w:pPr>
        <w:pStyle w:val="ListNumber"/>
      </w:pPr>
      <w:r>
        <w:t>Gemäß § 17.3 GU-Vertrag ist ausschließlicher Gerichtsstand Traunstein. Das Landgericht Traunstein ist sachlich und örtlich zuständig.</w:t>
      </w:r>
    </w:p>
    <w:p/>
    <w:p>
      <w:pPr>
        <w:jc w:val="left"/>
      </w:pPr>
      <w:r>
        <w:rPr>
          <w:b/>
        </w:rPr>
        <w:t>Rosenheim, [Datum Einreichung]</w:t>
      </w:r>
    </w:p>
    <w:p>
      <w:pPr>
        <w:jc w:val="left"/>
      </w:pPr>
      <w:r>
        <w:rPr>
          <w:b/>
        </w:rPr>
        <w:t>Dr. Henriette Niedermair</w:t>
      </w:r>
    </w:p>
    <w:p>
      <w:pPr>
        <w:jc w:val="left"/>
      </w:pPr>
      <w:r>
        <w:t>Rechtsanwältin</w:t>
      </w:r>
    </w:p>
    <w:p>
      <w:pPr>
        <w:jc w:val="left"/>
      </w:pPr>
      <w:r>
        <w:t>Fachanwältin für Bau- und Architektenrecht</w:t>
      </w:r>
    </w:p>
    <w:p/>
    <w:p>
      <w:pPr>
        <w:jc w:val="left"/>
      </w:pPr>
      <w:r>
        <w:rPr>
          <w:b/>
        </w:rPr>
        <w:t>Anlagen:</w:t>
      </w:r>
    </w:p>
    <w:p>
      <w:pPr>
        <w:pStyle w:val="ListBullet"/>
      </w:pPr>
      <w:r>
        <w:t>K 1: GU-Vertrag 12.07.2023</w:t>
      </w:r>
    </w:p>
    <w:p>
      <w:pPr>
        <w:pStyle w:val="ListBullet"/>
      </w:pPr>
      <w:r>
        <w:t>K 2: Gutachten SV Riedhof 02.04.2026</w:t>
      </w:r>
    </w:p>
    <w:p>
      <w:pPr>
        <w:pStyle w:val="ListBullet"/>
      </w:pPr>
      <w:r>
        <w:t>K 3: Elektroprüfprotokoll 12.03.2026</w:t>
      </w:r>
    </w:p>
    <w:p>
      <w:pPr>
        <w:pStyle w:val="ListBullet"/>
      </w:pPr>
      <w:r>
        <w:t>K 4: Notbeleuchtungsprotokoll</w:t>
      </w:r>
    </w:p>
    <w:p>
      <w:pPr>
        <w:pStyle w:val="ListBullet"/>
      </w:pPr>
      <w:r>
        <w:t>K 5: Mängelliste 14.04.2026 mit Übergabequittung</w:t>
      </w:r>
    </w:p>
    <w:p>
      <w:pPr>
        <w:pStyle w:val="ListBullet"/>
      </w:pPr>
      <w:r>
        <w:t>K 6: Schreiben RA Strohmayer 29.04.2026</w:t>
      </w:r>
    </w:p>
    <w:p>
      <w:pPr>
        <w:pStyle w:val="ListBullet"/>
      </w:pPr>
      <w:r>
        <w:t>K 7: Mängelrüge Kanzlei Niedermair 22.04.2026</w:t>
      </w:r>
    </w:p>
    <w:p>
      <w:pPr>
        <w:pStyle w:val="ListBullet"/>
      </w:pPr>
      <w:r>
        <w:t>K 8: Vollmacht Saalbau Wendelstein gGmbH</w:t>
      </w:r>
    </w:p>
    <w:p>
      <w:pPr>
        <w:jc w:val="left"/>
      </w:pPr>
      <w:r>
        <w:rPr>
          <w:i/>
        </w:rPr>
        <w:t>Kanzlei Niedermair Baurecht — Entwurf Stand 15.06.2026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Traunstein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Traunstein</w:t>
    </w:r>
  </w:p>
  <w:p>
    <w:pPr>
      <w:jc w:val="left"/>
      <w:pBdr>
        <w:bottom w:val="single" w:sz="6" w:space="2" w:color="3B3F45"/>
      </w:pBdr>
    </w:pPr>
    <w:r>
      <w:rPr>
        <w:rFonts w:ascii="Times New Roman" w:hAnsi="Times New Roman"/>
        <w:color w:val="6B6B66"/>
        <w:sz w:val="16"/>
      </w:rPr>
      <w:t>Gericht · Az. 2 O 318/26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