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Antrag auf Durchführung des selbstständigen Beweisverfahrens (DOCX-Grundlage)</w:t>
      </w:r>
    </w:p>
    <w:p>
      <w:pPr>
        <w:jc w:val="left"/>
      </w:pPr>
      <w:r>
        <w:rPr>
          <w:b/>
        </w:rPr>
        <w:t>Kanzlei Niedermair Baurecht Rosenheim — AZ NB-2026-0318</w:t>
      </w:r>
    </w:p>
    <w:p>
      <w:pPr>
        <w:jc w:val="left"/>
      </w:pPr>
      <w:r>
        <w:rPr>
          <w:i/>
        </w:rPr>
        <w:t>LG Traunstein Az. 2 OH 7/26 — Antrag eingereicht 28.04.2026</w:t>
      </w:r>
    </w:p>
    <w:p/>
    <w:p>
      <w:pPr>
        <w:pStyle w:val="Heading2"/>
      </w:pPr>
      <w:r>
        <w:rPr>
          <w:rFonts w:ascii="Times New Roman" w:hAnsi="Times New Roman"/>
        </w:rPr>
        <w:t>AN DAS LANDGERICHT TRAUNSTEIN</w:t>
      </w:r>
    </w:p>
    <w:p>
      <w:pPr>
        <w:jc w:val="left"/>
      </w:pPr>
      <w:r>
        <w:rPr>
          <w:b/>
        </w:rPr>
        <w:t>— Zivilkammer —</w:t>
      </w:r>
    </w:p>
    <w:p>
      <w:pPr>
        <w:jc w:val="left"/>
      </w:pPr>
      <w:r>
        <w:t>Münchener Straße 22</w:t>
      </w:r>
    </w:p>
    <w:p>
      <w:pPr>
        <w:jc w:val="left"/>
      </w:pPr>
      <w:r>
        <w:t>83278 Traunstein</w:t>
      </w:r>
    </w:p>
    <w:p/>
    <w:p>
      <w:pPr>
        <w:jc w:val="left"/>
      </w:pPr>
      <w:r>
        <w:rPr>
          <w:b/>
        </w:rPr>
        <w:t>Antragstellerin:</w:t>
      </w:r>
    </w:p>
    <w:p>
      <w:pPr>
        <w:jc w:val="left"/>
      </w:pPr>
      <w:r>
        <w:t>Saalbau Wendelstein gGmbH</w:t>
      </w:r>
    </w:p>
    <w:p>
      <w:pPr>
        <w:jc w:val="left"/>
      </w:pPr>
      <w:r>
        <w:t>Wittelsbacherstraße 102, 83022 Rosenheim</w:t>
      </w:r>
    </w:p>
    <w:p>
      <w:pPr>
        <w:jc w:val="left"/>
      </w:pPr>
      <w:r>
        <w:t>— vertr. d. GF Monika Ehrhardt-Vogler —</w:t>
      </w:r>
    </w:p>
    <w:p>
      <w:pPr>
        <w:jc w:val="left"/>
      </w:pPr>
      <w:r>
        <w:rPr>
          <w:b/>
        </w:rPr>
        <w:t>Prozessbevollmächtigte:</w:t>
      </w:r>
      <w:r>
        <w:t xml:space="preserve"> RAin Dr. Henriette Niedermair, Kanzlei Niedermair Baurecht, Ludwigstraße 18, 83022 Rosenheim</w:t>
      </w:r>
    </w:p>
    <w:p>
      <w:pPr>
        <w:jc w:val="left"/>
      </w:pPr>
      <w:r>
        <w:rPr>
          <w:b/>
        </w:rPr>
        <w:t>Antragsgegner:</w:t>
      </w:r>
    </w:p>
    <w:p>
      <w:pPr>
        <w:jc w:val="left"/>
      </w:pPr>
      <w:r>
        <w:t>Bauer-Hoch GmbH &amp; Co. KG</w:t>
      </w:r>
    </w:p>
    <w:p>
      <w:pPr>
        <w:jc w:val="left"/>
      </w:pPr>
      <w:r>
        <w:t>Traunsteiner Straße 88, 83278 Traunstein</w:t>
      </w:r>
    </w:p>
    <w:p/>
    <w:p>
      <w:pPr>
        <w:jc w:val="left"/>
      </w:pPr>
      <w:r>
        <w:rPr>
          <w:b/>
        </w:rPr>
        <w:t>ANTRAG AUF DURCHFÜHRUNG EINES SELBSTSTÄNDIGEN BEWEISVERFAHRENS</w:t>
      </w:r>
    </w:p>
    <w:p>
      <w:pPr>
        <w:jc w:val="left"/>
      </w:pPr>
      <w:r>
        <w:rPr>
          <w:b/>
        </w:rPr>
        <w:t>gemäß §§ 485 ff. ZPO</w:t>
      </w:r>
    </w:p>
    <w:p/>
    <w:p>
      <w:pPr>
        <w:pStyle w:val="Heading3"/>
      </w:pPr>
      <w:r>
        <w:rPr>
          <w:rFonts w:ascii="Times New Roman" w:hAnsi="Times New Roman"/>
        </w:rPr>
        <w:t>I. Antrag</w:t>
      </w:r>
    </w:p>
    <w:p>
      <w:pPr>
        <w:jc w:val="left"/>
      </w:pPr>
      <w:r>
        <w:t>Die Antragstellerin beantragt:</w:t>
      </w:r>
    </w:p>
    <w:p>
      <w:pPr>
        <w:pStyle w:val="ListNumber"/>
      </w:pPr>
      <w:r>
        <w:t>Es wird ein selbstständiges Beweisverfahren angeordnet.</w:t>
      </w:r>
    </w:p>
    <w:p>
      <w:pPr>
        <w:pStyle w:val="ListNumber"/>
      </w:pPr>
      <w:r>
        <w:t>Das Gericht möge einen Sachverständigen für Schäden an Gebäuden, insbesondere Stahlbetonkonstruktionen, Bodenplatten und Heiztechnik, bestellen, der folgende Fragen beantwortet (Beweisfragen 1–5):</w:t>
      </w:r>
    </w:p>
    <w:p>
      <w:pPr>
        <w:pStyle w:val="ListNumber"/>
      </w:pPr>
      <w:r>
        <w:t>Das Gericht möge ferner einen Sachverständigen für Bodenkontamination und Altlasten bestellen, der folgende Frage beantwortet (Beweisfrage 6):</w:t>
      </w:r>
    </w:p>
    <w:p>
      <w:pPr>
        <w:pStyle w:val="ListNumber"/>
      </w:pPr>
      <w:r>
        <w:t>Der Antragsgegner ist zu verpflichten, die Begehung des Bauvorhabens zu ermöglichen, alle erforderlichen Öffnungsmaßnahmen (Kernbohrungen, Probeentnahmen) zu dulden und sämtliche baubegleitenden Unterlagen (Baustageberichte, Prüfprotokolle, Lieferscheine, Abnahmeprotokolle der Nachunternehmer) zur Einsicht zu übergeben.</w:t>
      </w:r>
    </w:p>
    <w:p/>
    <w:p>
      <w:pPr>
        <w:pStyle w:val="Heading3"/>
      </w:pPr>
      <w:r>
        <w:rPr>
          <w:rFonts w:ascii="Times New Roman" w:hAnsi="Times New Roman"/>
        </w:rPr>
        <w:t>II. Beweisfragen</w:t>
      </w:r>
    </w:p>
    <w:p>
      <w:pPr>
        <w:jc w:val="left"/>
      </w:pPr>
      <w:r>
        <w:rPr>
          <w:b/>
        </w:rPr>
        <w:t>Beweisfrage 1:</w:t>
      </w:r>
    </w:p>
    <w:p>
      <w:pPr>
        <w:jc w:val="left"/>
      </w:pPr>
      <w:r>
        <w:t>Welche Schäden weist die Bodenplatte des Werkstattgebäudes (Baukörper 2) auf? Insbesondere: Welche Risse existieren, in welcher Breite, Tiefe und räumlichen Verteilung?</w:t>
      </w:r>
    </w:p>
    <w:p>
      <w:pPr>
        <w:jc w:val="left"/>
      </w:pPr>
      <w:r>
        <w:rPr>
          <w:b/>
        </w:rPr>
        <w:t>Beweisfrage 2:</w:t>
      </w:r>
    </w:p>
    <w:p>
      <w:pPr>
        <w:jc w:val="left"/>
      </w:pPr>
      <w:r>
        <w:t>Beruhen die Risse in der Bodenplatte auf mangelhafter Verdichtung des Schotterbetts und/oder fehlender Randstabbewehrung im Schachtbereich? Welchen Verdichtungsgrad (D nach DIN 1054) weist das Schotterbett auf? Entspricht die Bewehrung dem Bewehrungsplan Pos. 3.1?</w:t>
      </w:r>
    </w:p>
    <w:p>
      <w:pPr>
        <w:jc w:val="left"/>
      </w:pPr>
      <w:r>
        <w:rPr>
          <w:b/>
        </w:rPr>
        <w:t>Beweisfrage 3:</w:t>
      </w:r>
    </w:p>
    <w:p>
      <w:pPr>
        <w:jc w:val="left"/>
      </w:pPr>
      <w:r>
        <w:t>Ist die Fußbodenheizung des Werkstattgebäudes funktionstüchtig? In welchen Heizkreisen liegen Defekte vor? Welche Ursachen haben diese Defekte?</w:t>
      </w:r>
    </w:p>
    <w:p>
      <w:pPr>
        <w:jc w:val="left"/>
      </w:pPr>
      <w:r>
        <w:rPr>
          <w:b/>
        </w:rPr>
        <w:t>Beweisfrage 4:</w:t>
      </w:r>
    </w:p>
    <w:p>
      <w:pPr>
        <w:jc w:val="left"/>
      </w:pPr>
      <w:r>
        <w:t>Entsprechen die Schachtabdichtungen der Schächte S3 und S7 den Anforderungen nach DIN 18533 und den vertraglichen Leistungsbeschreibungen?</w:t>
      </w:r>
    </w:p>
    <w:p>
      <w:pPr>
        <w:jc w:val="left"/>
      </w:pPr>
      <w:r>
        <w:rPr>
          <w:b/>
        </w:rPr>
        <w:t>Beweisfrage 5:</w:t>
      </w:r>
    </w:p>
    <w:p>
      <w:pPr>
        <w:jc w:val="left"/>
      </w:pPr>
      <w:r>
        <w:t>Entsprechen die Brandschutzabdichtung Kabeldurchführung KD-03, die Erdung der Bühnenstromschienen und die Notbeleuchtung NK-4 und NK-7 den jeweils maßgeblichen Normen und dem Leistungsverzeichnis?</w:t>
      </w:r>
    </w:p>
    <w:p>
      <w:pPr>
        <w:jc w:val="left"/>
      </w:pPr>
      <w:r>
        <w:rPr>
          <w:b/>
        </w:rPr>
        <w:t>Beweisfrage 6:</w:t>
      </w:r>
    </w:p>
    <w:p>
      <w:pPr>
        <w:jc w:val="left"/>
      </w:pPr>
      <w:r>
        <w:t>Welche Schadstoffe (Cyanide, Schwermetalle Cu/Ni/Zn, PAK, MKW) sind im Bereich der Baustelle Baukörper 3 (Lagerhalle) in welchen Tiefen und Mengen vorhanden? Wie weit erstreckt sich die Kontamination? Welches Sanierungskonzept ist nach BBodSchG und BBodSchV erforderlich, und welche Kosten verursacht es voraussichtlich?</w:t>
      </w:r>
    </w:p>
    <w:p/>
    <w:p>
      <w:pPr>
        <w:pStyle w:val="Heading3"/>
      </w:pPr>
      <w:r>
        <w:rPr>
          <w:rFonts w:ascii="Times New Roman" w:hAnsi="Times New Roman"/>
        </w:rPr>
        <w:t>III. Begründung</w:t>
      </w:r>
    </w:p>
    <w:p>
      <w:pPr>
        <w:pStyle w:val="Heading3"/>
      </w:pPr>
      <w:r>
        <w:rPr>
          <w:rFonts w:ascii="Times New Roman" w:hAnsi="Times New Roman"/>
        </w:rPr>
        <w:t>1. Zulässigkeit des Beweisverfahrens</w:t>
      </w:r>
    </w:p>
    <w:p>
      <w:pPr>
        <w:jc w:val="left"/>
      </w:pPr>
      <w:r>
        <w:t>Das selbstständige Beweisverfahren nach § 485 ZPO ist zulässig. Gemäß § 485 Abs. 2 ZPO kann auf Antrag eine Partei die Einholung eines Sachverständigengutachtens über den Zustand einer Sache beantragen, wenn ein rechtliches Interesse an der Feststellung besteht. Ein rechtliches Interesse besteht, wenn die Feststellung der Vermeidung eines Rechtsstreits dienen kann oder wenn ein Beweismittelverlust droht.</w:t>
      </w:r>
    </w:p>
    <w:p>
      <w:pPr>
        <w:jc w:val="left"/>
      </w:pPr>
      <w:r>
        <w:t>Beide Voraussetzungen sind erfüllt:</w:t>
      </w:r>
    </w:p>
    <w:p>
      <w:pPr>
        <w:pStyle w:val="ListBullet"/>
      </w:pPr>
      <w:r>
        <w:t>Das Schiedsgutachterverfahren ist noch nicht abgeschlossen; die Feststellungen im Beweisverfahren können zur Klärung beitragen und einen Rechtsstreit vermeiden.</w:t>
      </w:r>
    </w:p>
    <w:p>
      <w:pPr>
        <w:pStyle w:val="ListBullet"/>
      </w:pPr>
      <w:r>
        <w:t>Die Bodenplatte zeigt fortschreitende Feuchtigkeitsschäden; die Beweissicherung vor Mängelbeseitigungsmaßnahmen ist dringend.</w:t>
      </w:r>
    </w:p>
    <w:p>
      <w:pPr>
        <w:pStyle w:val="Heading3"/>
      </w:pPr>
      <w:r>
        <w:rPr>
          <w:rFonts w:ascii="Times New Roman" w:hAnsi="Times New Roman"/>
        </w:rPr>
        <w:t>2. Bausachliche Dringlichkeit</w:t>
      </w:r>
    </w:p>
    <w:p>
      <w:pPr>
        <w:jc w:val="left"/>
      </w:pPr>
      <w:r>
        <w:t>Die Risse in der Bodenplatte entwickeln sich weiter; bei Eintritt weiterer Feuchtigkeit besteht Gefahr einer Korrosion der Bewehrung (Carbonatisierung) und damit fortschreitender Schädigung der Tragkonstruktion. Jede Mängelbeseitigungsmaßnahme würde die Beweise überlagen.</w:t>
      </w:r>
    </w:p>
    <w:p>
      <w:pPr>
        <w:pStyle w:val="Heading3"/>
      </w:pPr>
      <w:r>
        <w:rPr>
          <w:rFonts w:ascii="Times New Roman" w:hAnsi="Times New Roman"/>
        </w:rPr>
        <w:t>3. Gerichtsstand</w:t>
      </w:r>
    </w:p>
    <w:p>
      <w:pPr>
        <w:jc w:val="left"/>
      </w:pPr>
      <w:r>
        <w:t>Der ausschließliche Gerichtsstand nach § 17.3 GU-Vertrag ist Traunstein. Das Landgericht Traunstein ist auch für das selbstständige Beweisverfahren zuständig.</w:t>
      </w:r>
    </w:p>
    <w:p/>
    <w:p>
      <w:pPr>
        <w:pStyle w:val="Heading3"/>
      </w:pPr>
      <w:r>
        <w:rPr>
          <w:rFonts w:ascii="Times New Roman" w:hAnsi="Times New Roman"/>
        </w:rPr>
        <w:t>IV. Sachverständigenvorschläge</w:t>
      </w:r>
    </w:p>
    <w:p>
      <w:pPr>
        <w:jc w:val="left"/>
      </w:pPr>
      <w:r>
        <w:t>Die Antragstellerin schlägt für die Beweisfragen 1–5 vor:</w:t>
      </w:r>
    </w:p>
    <w:p>
      <w:pPr>
        <w:pStyle w:val="ListBullet"/>
      </w:pPr>
      <w:r>
        <w:rPr>
          <w:b/>
        </w:rPr>
        <w:t>Prof. Dr.-Ing. Manfred Seibold</w:t>
      </w:r>
      <w:r>
        <w:t>, TU München, Lehrstuhl Baukonstruktion</w:t>
      </w:r>
    </w:p>
    <w:p>
      <w:pPr>
        <w:jc w:val="left"/>
      </w:pPr>
      <w:r>
        <w:t>Für Beweisfrage 6:</w:t>
      </w:r>
    </w:p>
    <w:p>
      <w:pPr>
        <w:pStyle w:val="ListBullet"/>
      </w:pPr>
      <w:r>
        <w:rPr>
          <w:b/>
        </w:rPr>
        <w:t>Dr.-Ing. Dieter Schreiber</w:t>
      </w:r>
      <w:r>
        <w:t>, Gutachterbüro Schreiber &amp; Partner, Augsburg</w:t>
      </w:r>
    </w:p>
    <w:p>
      <w:pPr>
        <w:jc w:val="left"/>
      </w:pPr>
      <w:r>
        <w:t>Alternativ bittet das Gericht um Bestellung eines von ihm ausgewählten Sachverständigen.</w:t>
      </w:r>
    </w:p>
    <w:p/>
    <w:p>
      <w:pPr>
        <w:pStyle w:val="Heading3"/>
      </w:pPr>
      <w:r>
        <w:rPr>
          <w:rFonts w:ascii="Times New Roman" w:hAnsi="Times New Roman"/>
        </w:rPr>
        <w:t>V. Kostenvorschuss</w:t>
      </w:r>
    </w:p>
    <w:p>
      <w:pPr>
        <w:jc w:val="left"/>
      </w:pPr>
      <w:r>
        <w:t>Die Antragstellerin überweist den gerichtlich festgesetzten Vorschuss innerhalb von 14 Tagen nach Aufforderung.</w:t>
      </w:r>
    </w:p>
    <w:p/>
    <w:p>
      <w:pPr>
        <w:jc w:val="left"/>
      </w:pPr>
      <w:r>
        <w:rPr>
          <w:b/>
        </w:rPr>
        <w:t>Rosenheim, 28. April 2026</w:t>
      </w:r>
    </w:p>
    <w:p>
      <w:pPr>
        <w:jc w:val="left"/>
      </w:pPr>
      <w:r>
        <w:rPr>
          <w:b/>
        </w:rPr>
        <w:t>Dr. Henriette Niedermair</w:t>
      </w:r>
    </w:p>
    <w:p>
      <w:pPr>
        <w:jc w:val="left"/>
      </w:pPr>
      <w:r>
        <w:t>Rechtsanwältin</w:t>
      </w:r>
    </w:p>
    <w:p>
      <w:pPr>
        <w:jc w:val="left"/>
      </w:pPr>
      <w:r>
        <w:t>Fachanwältin für Bau- und Architektenrecht</w:t>
      </w:r>
    </w:p>
    <w:p/>
    <w:p>
      <w:pPr>
        <w:jc w:val="left"/>
      </w:pPr>
      <w:r>
        <w:rPr>
          <w:b/>
        </w:rPr>
        <w:t>Anlagen:</w:t>
      </w:r>
    </w:p>
    <w:p>
      <w:pPr>
        <w:pStyle w:val="ListBullet"/>
      </w:pPr>
      <w:r>
        <w:t>Anlage A1: Gutachten SV Riedhof, Endfassung 02.04.2026</w:t>
      </w:r>
    </w:p>
    <w:p>
      <w:pPr>
        <w:pStyle w:val="ListBullet"/>
      </w:pPr>
      <w:r>
        <w:t>Anlage A2: Mängelliste 14.04.2026</w:t>
      </w:r>
    </w:p>
    <w:p>
      <w:pPr>
        <w:pStyle w:val="ListBullet"/>
      </w:pPr>
      <w:r>
        <w:t>Anlage A3: Elektroprüfprotokoll 12.03.2026</w:t>
      </w:r>
    </w:p>
    <w:p>
      <w:pPr>
        <w:pStyle w:val="ListBullet"/>
      </w:pPr>
      <w:r>
        <w:t>Anlage A4: Laboranalyse BayBoden 04.02.2026</w:t>
      </w:r>
    </w:p>
    <w:p>
      <w:pPr>
        <w:pStyle w:val="ListBullet"/>
      </w:pPr>
      <w:r>
        <w:t>Anlage A5: Sanierungsanordnung LRA Rosenheim 12.02.2026</w:t>
      </w:r>
    </w:p>
    <w:p>
      <w:pPr>
        <w:pStyle w:val="ListBullet"/>
      </w:pPr>
      <w:r>
        <w:t>Anlage A6: GU-Vertrag 12.07.2023</w:t>
      </w:r>
    </w:p>
    <w:p>
      <w:pPr>
        <w:pStyle w:val="ListBullet"/>
      </w:pPr>
      <w:r>
        <w:t>Anlage A7: Vollmacht</w:t>
      </w:r>
    </w:p>
    <w:p>
      <w:pPr>
        <w:jc w:val="left"/>
      </w:pPr>
      <w:r>
        <w:rPr>
          <w:i/>
        </w:rPr>
        <w:t>Kanzlei Niedermair Baurecht — Stand 28.04.2026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 DAS LANDGERICHT TRAUNSTEIN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 DAS LANDGERICHT TRAUNSTEIN</w:t>
    </w:r>
  </w:p>
  <w:p>
    <w:pPr>
      <w:jc w:val="left"/>
      <w:pBdr>
        <w:bottom w:val="single" w:sz="6" w:space="2" w:color="3B3F45"/>
      </w:pBdr>
    </w:pPr>
    <w:r>
      <w:rPr>
        <w:rFonts w:ascii="Times New Roman" w:hAnsi="Times New Roman"/>
        <w:color w:val="6B6B66"/>
        <w:sz w:val="16"/>
      </w:rPr>
      <w:t>Gericht · Az. 2 OH 7/26 — Antrag eingereicht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