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12 – Akteneinsicht LfU – Ergebnisprotokoll</w:t>
      </w:r>
    </w:p>
    <w:p>
      <w:pPr>
        <w:jc w:val="left"/>
      </w:pPr>
      <w:r>
        <w:rPr>
          <w:b/>
        </w:rPr>
        <w:t>Datum der Akteneinsicht:</w:t>
      </w:r>
      <w:r>
        <w:t xml:space="preserve"> 24.03.2026</w:t>
      </w:r>
    </w:p>
    <w:p>
      <w:pPr>
        <w:jc w:val="left"/>
      </w:pPr>
      <w:r>
        <w:rPr>
          <w:b/>
        </w:rPr>
        <w:t>Ort:</w:t>
      </w:r>
      <w:r>
        <w:t xml:space="preserve"> Landesamt für Umwelt Brandenburg, Seeburger Chaussee 2, 14476 Potsdam OT Groß Glienicke, Zimmer 3.14</w:t>
      </w:r>
    </w:p>
    <w:p>
      <w:pPr>
        <w:jc w:val="left"/>
      </w:pPr>
      <w:r>
        <w:rPr>
          <w:b/>
        </w:rPr>
        <w:t>Anwesend:</w:t>
      </w:r>
      <w:r>
        <w:t xml:space="preserve"> RA Dr. Korbinian Maaßmann (Kanzlei Maaßmann), Ref. Tobias Wagner (LfU, Sachbearbeiter)</w:t>
      </w:r>
    </w:p>
    <w:p>
      <w:pPr>
        <w:jc w:val="left"/>
      </w:pPr>
      <w:r>
        <w:rPr>
          <w:b/>
        </w:rPr>
        <w:t>Verfahren:</w:t>
      </w:r>
      <w:r>
        <w:t xml:space="preserve"> 40.2-LfU-7204-22/26</w:t>
      </w:r>
    </w:p>
    <w:p/>
    <w:p>
      <w:pPr>
        <w:pStyle w:val="Heading2"/>
      </w:pPr>
      <w:r>
        <w:rPr>
          <w:rFonts w:ascii="Times New Roman" w:hAnsi="Times New Roman"/>
        </w:rPr>
        <w:t>I. Umfang der eingesehenen Unterlagen</w:t>
      </w:r>
    </w:p>
    <w:p>
      <w:pPr>
        <w:jc w:val="left"/>
      </w:pPr>
      <w:r>
        <w:t xml:space="preserve">Dem Akteneinsichtsrecht wurde seitens des LfU </w:t>
      </w:r>
      <w:r>
        <w:rPr>
          <w:b/>
        </w:rPr>
        <w:t>teilweise</w:t>
      </w:r>
      <w:r>
        <w:t xml:space="preserve"> entsprochen. Vollständig eingesehen werden konnten:</w:t>
      </w:r>
    </w:p>
    <w:p>
      <w:pPr>
        <w:pStyle w:val="ListBullet"/>
      </w:pPr>
      <w:r>
        <w:t>Antragsunterlagen der Vorhabenträgerin (Ordner 1–4 von 7)</w:t>
      </w:r>
    </w:p>
    <w:p>
      <w:pPr>
        <w:pStyle w:val="ListBullet"/>
      </w:pPr>
      <w:r>
        <w:t>Schallimmissionsprognose AC-2023-0741-Rev.3 (vollständig)</w:t>
      </w:r>
    </w:p>
    <w:p>
      <w:pPr>
        <w:pStyle w:val="ListBullet"/>
      </w:pPr>
      <w:r>
        <w:t>Schattenwurfprognose (vollständig)</w:t>
      </w:r>
    </w:p>
    <w:p>
      <w:pPr>
        <w:pStyle w:val="ListBullet"/>
      </w:pPr>
      <w:r>
        <w:t>UVP-Bericht (vollständig)</w:t>
      </w:r>
    </w:p>
    <w:p>
      <w:pPr>
        <w:pStyle w:val="ListBullet"/>
      </w:pPr>
      <w:r>
        <w:t>Öffentlichkeitsbeteiligung: Einwendungsverzeichnis (192 Einwendungen)</w:t>
      </w:r>
    </w:p>
    <w:p>
      <w:pPr>
        <w:jc w:val="left"/>
      </w:pPr>
      <w:r>
        <w:rPr>
          <w:b/>
        </w:rPr>
        <w:t>Nicht eingesehen</w:t>
      </w:r>
      <w:r>
        <w:t xml:space="preserve"> werden konnten (LfU verweigert mit Begründung des Betriebs- und Geschäftsgeheimnisses der Vorhabenträgerin):</w:t>
      </w:r>
    </w:p>
    <w:p>
      <w:pPr>
        <w:pStyle w:val="ListBullet"/>
      </w:pPr>
      <w:r>
        <w:t>Berechnungsprotokolle und Eingabedateien der Schallsoftware (WindPRO-Dateien)</w:t>
      </w:r>
    </w:p>
    <w:p>
      <w:pPr>
        <w:pStyle w:val="ListBullet"/>
      </w:pPr>
      <w:r>
        <w:t>Interne E-Mail-Korrespondenz zwischen LfU und Vorhabenträgerin</w:t>
      </w:r>
    </w:p>
    <w:p>
      <w:pPr>
        <w:pStyle w:val="ListBullet"/>
      </w:pPr>
      <w:r>
        <w:t>Ordner 5–7 (angeblich Duplikate und Verwaltungsinterna)</w:t>
      </w:r>
    </w:p>
    <w:p>
      <w:pPr>
        <w:jc w:val="left"/>
      </w:pPr>
      <w:r>
        <w:rPr>
          <w:b/>
        </w:rPr>
        <w:t>Rechtlicher Hinweis:</w:t>
      </w:r>
      <w:r>
        <w:t xml:space="preserve"> Die Verweigerung der Einsicht in die Berechnungsgrundlagen ist angreifbar (§ 29 Abs. 2 VwVfG i.V.m. § 6 UmwRG). Informationsfreiheitsantrag nach § 4 IFG Brandenburg gestellt (s. Aktenstück 13).</w:t>
      </w:r>
    </w:p>
    <w:p/>
    <w:p>
      <w:pPr>
        <w:pStyle w:val="Heading2"/>
      </w:pPr>
      <w:r>
        <w:rPr>
          <w:rFonts w:ascii="Times New Roman" w:hAnsi="Times New Roman"/>
        </w:rPr>
        <w:t>II. Wesentliche Erkenntnisse</w:t>
      </w:r>
    </w:p>
    <w:p>
      <w:pPr>
        <w:pStyle w:val="Heading3"/>
      </w:pPr>
      <w:r>
        <w:rPr>
          <w:rFonts w:ascii="Times New Roman" w:hAnsi="Times New Roman"/>
        </w:rPr>
        <w:t>Schallgutachten</w:t>
      </w:r>
    </w:p>
    <w:p>
      <w:pPr>
        <w:jc w:val="left"/>
      </w:pPr>
      <w:r>
        <w:t xml:space="preserve">Bestätigt: Schallleistungspegel WEA 03 im Gutachten mit </w:t>
      </w:r>
      <w:r>
        <w:rPr>
          <w:b/>
        </w:rPr>
        <w:t>106,0 dB(A)</w:t>
      </w:r>
      <w:r>
        <w:t xml:space="preserve"> angegeben (wie in Aktenstück 04 identifiziert). Nordex-Typenblatt liegt als Anlage 3 in Ordner 2; dort findet sich für Betriebsmodus M0 der Wert </w:t>
      </w:r>
      <w:r>
        <w:rPr>
          <w:b/>
        </w:rPr>
        <w:t>107,5 dB(A)</w:t>
      </w:r>
      <w:r>
        <w:t>.</w:t>
      </w:r>
    </w:p>
    <w:p>
      <w:pPr>
        <w:jc w:val="left"/>
      </w:pPr>
      <w:r>
        <w:t>Einwendung der NABU-Kreisgruppe Uckermark (Einwendung Nr. 47, Ordner 7, nicht eingesehen) soll nach Aussage von Ref. Wagner ebenfalls die Schallprognose beanstandet haben – Inhalt nicht verifizierbar.</w:t>
      </w:r>
    </w:p>
    <w:p>
      <w:pPr>
        <w:pStyle w:val="Heading3"/>
      </w:pPr>
      <w:r>
        <w:rPr>
          <w:rFonts w:ascii="Times New Roman" w:hAnsi="Times New Roman"/>
        </w:rPr>
        <w:t>Artenschutzrechtliche Prüfung</w:t>
      </w:r>
    </w:p>
    <w:p>
      <w:pPr>
        <w:jc w:val="left"/>
      </w:pPr>
      <w:r>
        <w:t xml:space="preserve">Die saP (NaturaConsult, Bericht NC-WTH-2022) liegt vollständig vor. Rotmilan-Horst bei 53°07'12" N, 13°22'34" O ist darin </w:t>
      </w:r>
      <w:r>
        <w:rPr>
          <w:b/>
        </w:rPr>
        <w:t>nicht erfasst</w:t>
      </w:r>
      <w:r>
        <w:t>. Kartierungsprotokolle (12 Begehungstermine in 2022) sind beigefügt. Ein zweites Erfassungsjahr fehlt bestätigt.</w:t>
      </w:r>
    </w:p>
    <w:p>
      <w:pPr>
        <w:pStyle w:val="Heading3"/>
      </w:pPr>
      <w:r>
        <w:rPr>
          <w:rFonts w:ascii="Times New Roman" w:hAnsi="Times New Roman"/>
        </w:rPr>
        <w:t>Öffentlichkeitsbeteiligung</w:t>
      </w:r>
    </w:p>
    <w:p>
      <w:pPr>
        <w:jc w:val="left"/>
      </w:pPr>
      <w:r>
        <w:t xml:space="preserve">Erörterungstermin hat </w:t>
      </w:r>
      <w:r>
        <w:rPr>
          <w:b/>
        </w:rPr>
        <w:t>nicht stattgefunden</w:t>
      </w:r>
      <w:r>
        <w:t xml:space="preserve"> (LfU hat ihn gem. § 12 Abs. 1 S. 3 BImSchG als nicht erforderlich abgelehnt). Dies ist bei einer Vielzahl von Einwendungen (192) und bei einer UVP-pflichtigen Anlage zumindest begründungsbedürftig.</w:t>
      </w:r>
    </w:p>
    <w:p>
      <w:pPr>
        <w:pStyle w:val="Heading3"/>
      </w:pPr>
      <w:r>
        <w:rPr>
          <w:rFonts w:ascii="Times New Roman" w:hAnsi="Times New Roman"/>
        </w:rPr>
        <w:t>Sofortvollzug</w:t>
      </w:r>
    </w:p>
    <w:p>
      <w:pPr>
        <w:jc w:val="left"/>
      </w:pPr>
      <w:r>
        <w:t>Die Anordnung des Sofortvollzugs (Abschnitt VII des Bescheids) wurde nicht durch einen separaten Vermerk oder ein Protokoll vorbereitet. Die einseitige Begründung (s. Aktenstück 08) ist damit auch im Verwaltungsvorgang nicht durch eine eigenständige Abwägung hinterlegt.</w:t>
      </w:r>
    </w:p>
    <w:p/>
    <w:p>
      <w:pPr>
        <w:pStyle w:val="Heading2"/>
      </w:pPr>
      <w:r>
        <w:rPr>
          <w:rFonts w:ascii="Times New Roman" w:hAnsi="Times New Roman"/>
        </w:rPr>
        <w:t>III. Handlungsempfehlungen</w:t>
      </w:r>
    </w:p>
    <w:p>
      <w:pPr>
        <w:pStyle w:val="ListNumber"/>
      </w:pPr>
      <w:r>
        <w:t>Klageerhebung 4 K 218/26 und Eilantrag 4 L 89/26 bis 16.04.2026 (Fristablauf)</w:t>
      </w:r>
    </w:p>
    <w:p>
      <w:pPr>
        <w:pStyle w:val="ListNumber"/>
      </w:pPr>
      <w:r>
        <w:t>IFG-Antrag auf Zugang zu Berechnungsgrundlagen weiterverfolgen</w:t>
      </w:r>
    </w:p>
    <w:p>
      <w:pPr>
        <w:pStyle w:val="ListNumber"/>
      </w:pPr>
      <w:r>
        <w:t>Gegengutachten Schall beauftragen (Aktenstück 11)</w:t>
      </w:r>
    </w:p>
    <w:p>
      <w:pPr>
        <w:pStyle w:val="ListNumber"/>
      </w:pPr>
      <w:r>
        <w:t>Ornithologisches Gegengutachten (Rotmilan) beauftragen</w:t>
      </w:r>
    </w:p>
    <w:p/>
    <w:p>
      <w:pPr>
        <w:jc w:val="left"/>
      </w:pPr>
      <w:r>
        <w:rPr>
          <w:i/>
        </w:rPr>
        <w:t>Erstellt: 24.03.2026 | Bearbeiter: RA Dr. K. Maaßmann | Akte: WUE-2026/047</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Ort: Landesamt für Umwelt Brandenburg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Ort: Landesamt für Umwelt Brandenburg</w:t>
    </w:r>
  </w:p>
  <w:p>
    <w:pPr>
      <w:jc w:val="left"/>
      <w:pBdr>
        <w:bottom w:val="single" w:sz="6" w:space="2" w:color="3B3F45"/>
      </w:pBdr>
    </w:pPr>
    <w:r>
      <w:rPr>
        <w:rFonts w:ascii="Times New Roman" w:hAnsi="Times New Roman"/>
        <w:color w:val="6B6B66"/>
        <w:sz w:val="16"/>
      </w:rPr>
      <w:t>Seeburger Chaussee 2, 14476 Potsdam OT Groß Glienicke, Zimmer 3.14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