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Sicherstellung von Mandatsdaten — § 97, § 148 StPO</w:t>
      </w:r>
    </w:p>
    <w:p>
      <w:pPr>
        <w:jc w:val="left"/>
      </w:pPr>
      <w:r>
        <w:rPr>
          <w:b/>
        </w:rPr>
        <w:t>Marx Strafverteidigung Frankfurt</w:t>
      </w:r>
    </w:p>
    <w:p>
      <w:pPr>
        <w:jc w:val="left"/>
      </w:pPr>
      <w:r>
        <w:t>Dr. Friederike Marx, Fachanwältin für Strafrecht</w:t>
      </w:r>
    </w:p>
    <w:p>
      <w:pPr>
        <w:jc w:val="left"/>
      </w:pPr>
      <w:r>
        <w:t>Bockenheimer Landstraße 84</w:t>
      </w:r>
    </w:p>
    <w:p>
      <w:pPr>
        <w:jc w:val="left"/>
      </w:pPr>
      <w:r>
        <w:t>60323 Frankfurt am Main</w:t>
      </w:r>
    </w:p>
    <w:p>
      <w:pPr>
        <w:jc w:val="left"/>
      </w:pPr>
      <w:r>
        <w:t>An das</w:t>
      </w:r>
    </w:p>
    <w:p>
      <w:pPr>
        <w:jc w:val="left"/>
      </w:pPr>
      <w:r>
        <w:rPr>
          <w:b/>
        </w:rPr>
        <w:t>Amtsgericht Frankfurt am Main</w:t>
      </w:r>
    </w:p>
    <w:p>
      <w:pPr>
        <w:jc w:val="left"/>
      </w:pPr>
      <w:r>
        <w:t>— Ermittlungsrichterin —</w:t>
      </w:r>
    </w:p>
    <w:p>
      <w:pPr>
        <w:jc w:val="left"/>
      </w:pPr>
      <w:r>
        <w:t>z.Hd. Frau Dr. Carolin Mayer</w:t>
      </w:r>
    </w:p>
    <w:p>
      <w:pPr>
        <w:jc w:val="left"/>
      </w:pPr>
      <w:r>
        <w:t>Gerichtsstraße 2</w:t>
      </w:r>
    </w:p>
    <w:p>
      <w:pPr>
        <w:jc w:val="left"/>
      </w:pPr>
      <w:r>
        <w:t>60313 Frankfurt am Main</w:t>
      </w:r>
    </w:p>
    <w:p>
      <w:pPr>
        <w:jc w:val="left"/>
      </w:pPr>
      <w:r>
        <w:t xml:space="preserve">Frankfurt am Main, </w:t>
      </w:r>
      <w:r>
        <w:rPr>
          <w:b/>
        </w:rPr>
        <w:t>12. März 2025</w:t>
      </w:r>
    </w:p>
    <w:p/>
    <w:p>
      <w:pPr>
        <w:jc w:val="left"/>
      </w:pPr>
      <w:r>
        <w:rPr>
          <w:b/>
        </w:rPr>
        <w:t>Az. AG Frankfurt: 942 Gs 2847/25</w:t>
      </w:r>
    </w:p>
    <w:p>
      <w:pPr>
        <w:jc w:val="left"/>
      </w:pPr>
      <w:r>
        <w:rPr>
          <w:b/>
        </w:rPr>
        <w:t>Az. StA Frankfurt: 5400 Js 14782/24</w:t>
      </w:r>
    </w:p>
    <w:p>
      <w:pPr>
        <w:jc w:val="left"/>
      </w:pPr>
      <w:r>
        <w:rPr>
          <w:b/>
        </w:rPr>
        <w:t>Betreff: Widerspruch und Antrag auf Aufhebung der Sicherstellungsmaßnahme vom 11.03.2025</w:t>
      </w:r>
    </w:p>
    <w:p/>
    <w:p>
      <w:pPr>
        <w:jc w:val="left"/>
      </w:pPr>
      <w:r>
        <w:t>Sehr geehrte Frau Richterin Dr. Mayer,</w:t>
      </w:r>
    </w:p>
    <w:p>
      <w:pPr>
        <w:jc w:val="left"/>
      </w:pPr>
      <w:r>
        <w:t xml:space="preserve">ich erhebe hiermit fristwahrend </w:t>
      </w:r>
      <w:r>
        <w:rPr>
          <w:b/>
        </w:rPr>
        <w:t>Widerspruch</w:t>
      </w:r>
      <w:r>
        <w:t xml:space="preserve"> nach </w:t>
      </w:r>
      <w:r>
        <w:rPr>
          <w:b/>
        </w:rPr>
        <w:t>§ 98 Abs. 2 StPO</w:t>
      </w:r>
      <w:r>
        <w:t xml:space="preserve"> gegen die bei der Durchsuchung meiner Kanzleiräume am 11. März 2025 (Az. 942 Gs 2847/25) vorgenommene Sicherstellung der unter Asservatennummern 2025/03/11-001 bis 2025/03/11-006 erfassten Gegenstände und beantrage,</w:t>
      </w:r>
    </w:p>
    <w:p>
      <w:pPr>
        <w:pStyle w:val="ListNumber"/>
      </w:pPr>
      <w:r>
        <w:t xml:space="preserve">sämtliche sichergestellten Gegenstände </w:t>
      </w:r>
      <w:r>
        <w:rPr>
          <w:b/>
        </w:rPr>
        <w:t>unverzüglich zurückzugeben</w:t>
      </w:r>
      <w:r>
        <w:t xml:space="preserve"> (§ 98 Abs. 2 S. 2 StPO),</w:t>
      </w:r>
    </w:p>
    <w:p>
      <w:pPr>
        <w:pStyle w:val="ListNumber"/>
      </w:pPr>
      <w:r>
        <w:t xml:space="preserve">hilfsweise: die Entscheidung über die Beschlagnahmefähigkeit </w:t>
      </w:r>
      <w:r>
        <w:rPr>
          <w:b/>
        </w:rPr>
        <w:t>dem zuständigen Strafrichter</w:t>
      </w:r>
      <w:r>
        <w:t xml:space="preserve"> vorzubehalten und bis zur Entscheidung alle Gegenstände unter richterlichem Siegel zu belassen,</w:t>
      </w:r>
    </w:p>
    <w:p>
      <w:pPr>
        <w:pStyle w:val="ListNumber"/>
      </w:pPr>
      <w:r>
        <w:t xml:space="preserve">der Staatsanwaltschaft </w:t>
      </w:r>
      <w:r>
        <w:rPr>
          <w:b/>
        </w:rPr>
        <w:t>jede Kenntnisnahme</w:t>
      </w:r>
      <w:r>
        <w:t xml:space="preserve"> vom Inhalt der sichergestellten Gegenstände bis zur rechtskräftigen Entscheidung zu untersagen.</w:t>
      </w:r>
    </w:p>
    <w:p/>
    <w:p>
      <w:pPr>
        <w:pStyle w:val="Heading2"/>
      </w:pPr>
      <w:r>
        <w:rPr>
          <w:rFonts w:ascii="Times New Roman" w:hAnsi="Times New Roman"/>
        </w:rPr>
        <w:t>A. Beschlagnahmeverbot gemäß § 97 Abs. 1 Nr. 1 und 3 StPO</w:t>
      </w:r>
    </w:p>
    <w:p>
      <w:pPr>
        <w:pStyle w:val="Heading3"/>
      </w:pPr>
      <w:r>
        <w:rPr>
          <w:rFonts w:ascii="Times New Roman" w:hAnsi="Times New Roman"/>
        </w:rPr>
        <w:t>I. Schutzbereich des § 97 StPO</w:t>
      </w:r>
    </w:p>
    <w:p>
      <w:pPr>
        <w:jc w:val="left"/>
      </w:pPr>
      <w:r>
        <w:t xml:space="preserve">Gemäß </w:t>
      </w:r>
      <w:r>
        <w:rPr>
          <w:b/>
        </w:rPr>
        <w:t>§ 97 Abs. 1 Nr. 1 StPO</w:t>
      </w:r>
      <w:r>
        <w:t xml:space="preserve"> unterliegen schriftliche Mitteilungen zwischen dem Beschuldigten und Personen, die als Zeugen das Zeugnis verweigern dürfen, dem Beschlagnahmeverbot. Als Verteidigerin des Beschuldigten Bankert bin ich gemäß </w:t>
      </w:r>
      <w:r>
        <w:rPr>
          <w:b/>
        </w:rPr>
        <w:t>§ 53 Abs. 1 Nr. 2 StPO</w:t>
      </w:r>
      <w:r>
        <w:t xml:space="preserve"> zeugnisverweigerungsberechtigt. Die in den sichergestellten Gegenständen enthaltenen Unterlagen und Kommunikationen fallen daher in den Schutzbereich des § 97 Abs. 1 Nr. 1 StPO.</w:t>
      </w:r>
    </w:p>
    <w:p>
      <w:pPr>
        <w:jc w:val="left"/>
      </w:pPr>
      <w:r>
        <w:t xml:space="preserve">Gemäß </w:t>
      </w:r>
      <w:r>
        <w:rPr>
          <w:b/>
        </w:rPr>
        <w:t>§ 97 Abs. 1 Nr. 3 StPO</w:t>
      </w:r>
      <w:r>
        <w:t xml:space="preserve"> gilt das Beschlagnahmeverbot überdies für sonstige Gegenstände, auf die das Zeugnisverweigerungsrecht sich erstreckt. Dies schließt alle mandatsbezogenen Aufzeichnungen, Korrespondenz und digitalen Daten ein, die sich auf die Verteidigung des Beschuldigten in diesem Strafverfahren beziehen.</w:t>
      </w:r>
    </w:p>
    <w:p>
      <w:pPr>
        <w:pStyle w:val="Heading3"/>
      </w:pPr>
      <w:r>
        <w:rPr>
          <w:rFonts w:ascii="Times New Roman" w:hAnsi="Times New Roman"/>
        </w:rPr>
        <w:t>II. Umfang des Mandats</w:t>
      </w:r>
    </w:p>
    <w:p>
      <w:pPr>
        <w:jc w:val="left"/>
      </w:pPr>
      <w:r>
        <w:t>Das Mandat wurde am 20. März 2025 schriftlich begründet. Die sichergestellten Unterlagen aus dem Aktenordner „Bankert — Vorakten 2024" (Asservatennr. -003) und „Bankert — Vertragsunterlagen Liechtenstein" (-004) betreffen Akten, die ich im Zuge der Mandatsvorbereitung und der laufenden Akteneinsicht zusammengestellt habe. Sie stehen in unmittelbarem sachlichem Zusammenhang mit der Strafverteidigung und sind dem Zugriff der Staatsanwaltschaft entzogen.</w:t>
      </w:r>
    </w:p>
    <w:p>
      <w:pPr>
        <w:pStyle w:val="Heading3"/>
      </w:pPr>
      <w:r>
        <w:rPr>
          <w:rFonts w:ascii="Times New Roman" w:hAnsi="Times New Roman"/>
        </w:rPr>
        <w:t>III. Keine Ausnahme nach § 97 Abs. 2 StPO</w:t>
      </w:r>
    </w:p>
    <w:p>
      <w:pPr>
        <w:jc w:val="left"/>
      </w:pPr>
      <w:r>
        <w:t>Das Beschlagnahmeverbot entfällt nach § 97 Abs. 2 S. 1 StPO nur dann, wenn die in Abs. 1 bezeichneten Personen einer Beteiligung an der Straftat oder einer Begünstigung, Strafvereitelung oder Hehlerei verdächtig sind. Ein solcher Verdacht gegenüber meiner Person besteht nicht; er wurde weder im Durchsuchungsbeschluss noch im zugehörigen Antrag der Staatsanwaltschaft geäußert. Die bloße Tatsache, dass ich Verteidigerin des Beschuldigten bin und mich mit belastendem Aktenmaterial beschäftigt habe, begründet keinen Verdacht im Sinne des § 97 Abs. 2 StPO.</w:t>
      </w:r>
    </w:p>
    <w:p/>
    <w:p>
      <w:pPr>
        <w:pStyle w:val="Heading2"/>
      </w:pPr>
      <w:r>
        <w:rPr>
          <w:rFonts w:ascii="Times New Roman" w:hAnsi="Times New Roman"/>
        </w:rPr>
        <w:t>B. Verletzung des verfassungsrechtlichen Schutzes der Strafverteidigung</w:t>
      </w:r>
    </w:p>
    <w:p>
      <w:pPr>
        <w:pStyle w:val="Heading3"/>
      </w:pPr>
      <w:r>
        <w:rPr>
          <w:rFonts w:ascii="Times New Roman" w:hAnsi="Times New Roman"/>
        </w:rPr>
        <w:t>I. BVerfG-Linie zum Schutz der Verteidigerkommunikation</w:t>
      </w:r>
    </w:p>
    <w:p>
      <w:pPr>
        <w:jc w:val="left"/>
      </w:pPr>
      <w:r>
        <w:t>Das Bundesverfassungsgericht hat in ständiger Rechtsprechung den besonderen Schutz der anwaltlichen Verteidigerkommunikation betont. Die Beschlagnahme von Verteidigungsunterlagen stellt einen schwerwiegenden Eingriff in das Recht auf ein faires Verfahren (Art. 6 Abs. 3 lit. c EMRK, Art. 103 Abs. 1 GG) sowie in die Berufsfreiheit der Verteidigerin (Art. 12 Abs. 1 GG) dar (vgl. BVerfG, Beschluss vom 30.04.2007 — 2 BvR 2151/06; BVerfG, Beschluss vom 08.10.2009 — 2 BvR 547/08).</w:t>
      </w:r>
    </w:p>
    <w:p>
      <w:pPr>
        <w:jc w:val="left"/>
      </w:pPr>
      <w:r>
        <w:t>Das BVerfG hat insbesondere hervorgehoben, dass ein Mandant, der befürchten muss, seine Verteidigerin könnte jederzeit einer Durchsuchung ausgesetzt werden und Verteidigungsunterlagen könnten der Staatsanwaltschaft zugänglich gemacht werden, der effektiven Inanspruchnahme anwaltlicher Verteidigung beraubt wird. Das Grundgesetz garantiert nicht nur die formale Verteidigungsmöglichkeit, sondern eine effektive, unbelastete Verteidigung.</w:t>
      </w:r>
    </w:p>
    <w:p>
      <w:pPr>
        <w:pStyle w:val="Heading3"/>
      </w:pPr>
      <w:r>
        <w:rPr>
          <w:rFonts w:ascii="Times New Roman" w:hAnsi="Times New Roman"/>
        </w:rPr>
        <w:t>II. Recht auf Vertraulichkeit der Verteidigerkommunikation</w:t>
      </w:r>
    </w:p>
    <w:p>
      <w:pPr>
        <w:jc w:val="left"/>
      </w:pPr>
      <w:r>
        <w:t xml:space="preserve">Gemäß </w:t>
      </w:r>
      <w:r>
        <w:rPr>
          <w:b/>
        </w:rPr>
        <w:t>§ 148 Abs. 1 StPO</w:t>
      </w:r>
      <w:r>
        <w:t xml:space="preserve"> ist dem Beschuldigten, auch wenn er sich in Untersuchungshaft befindet, schriftlicher und mündlicher Verkehr mit seinem Verteidiger gestattet. Dieser Grundsatz schließt die Vertraulichkeit der gemeinsam erarbeiteten Verteidigungsunterlagen ein. Die Sicherstellung des Laptops und der Aktenordner untergräbt diesen Grundsatz unmittelbar.</w:t>
      </w:r>
    </w:p>
    <w:p>
      <w:pPr>
        <w:pStyle w:val="Heading3"/>
      </w:pPr>
      <w:r>
        <w:rPr>
          <w:rFonts w:ascii="Times New Roman" w:hAnsi="Times New Roman"/>
        </w:rPr>
        <w:t>III. Europarecht</w:t>
      </w:r>
    </w:p>
    <w:p>
      <w:pPr>
        <w:jc w:val="left"/>
      </w:pPr>
      <w:r>
        <w:t>Auch Art. 7 der EU-Richtlinie 2013/48/EU (Recht auf Zugang zu einem Rechtsbeistand) und Art. 8 der EU-Richtlinie 2016/343/EU (Unschuldsvermutung) gebieten, dass Verteidigungsunterlagen nicht der Strafverfolgungsbehörde zugänglich gemacht werden.</w:t>
      </w:r>
    </w:p>
    <w:p/>
    <w:p>
      <w:pPr>
        <w:pStyle w:val="Heading2"/>
      </w:pPr>
      <w:r>
        <w:rPr>
          <w:rFonts w:ascii="Times New Roman" w:hAnsi="Times New Roman"/>
        </w:rPr>
        <w:t>C. Digitale Datenträger — besonderes Schutzregime</w:t>
      </w:r>
    </w:p>
    <w:p>
      <w:pPr>
        <w:jc w:val="left"/>
      </w:pPr>
      <w:r>
        <w:t>Die sichergestellten digitalen Datenträger (Laptop Asserv. -001, USB-Stick -002, Smartphone -005, Festplatte -006) enthalten nach meiner Einschätzung neben den Mandatsdaten Bankert auch Daten aus anderen laufenden Strafverteidigungsmandaten, die mit diesem Verfahren keinerlei Zusammenhang haben. Durch eine Auswertung würde die Staatsanwaltschaft Kenntnis von sensiblen Informationen zu Dutzenden anderen Mandanten erhalten. Dies ist mit dem Grundrecht der betroffenen Mandanten auf informationelle Selbstbestimmung (Art. 2 Abs. 1 i.V.m. Art. 1 Abs. 1 GG) unvereinbar.</w:t>
      </w:r>
    </w:p>
    <w:p>
      <w:pPr>
        <w:jc w:val="left"/>
      </w:pPr>
      <w:r>
        <w:t xml:space="preserve">Ich beantrage, </w:t>
      </w:r>
      <w:r>
        <w:rPr>
          <w:b/>
        </w:rPr>
        <w:t>mindestens</w:t>
      </w:r>
      <w:r>
        <w:t xml:space="preserve"> die Rückgabe der digitalen Datenträger oder ihre Sicherung durch einen unabhängigen richterlichen Sachverständigen, der ausschließlich die verfahrensrelevanten Daten extrahiert und der Staatsanwaltschaft zuleitet, während alle übrigen Daten der gerichtlichen Verwahrung unterliegen.</w:t>
      </w:r>
    </w:p>
    <w:p/>
    <w:p>
      <w:pPr>
        <w:pStyle w:val="Heading2"/>
      </w:pPr>
      <w:r>
        <w:rPr>
          <w:rFonts w:ascii="Times New Roman" w:hAnsi="Times New Roman"/>
        </w:rPr>
        <w:t>D. Anträge (zusammengefasst)</w:t>
      </w:r>
    </w:p>
    <w:p>
      <w:pPr>
        <w:pStyle w:val="ListNumber"/>
      </w:pPr>
      <w:r>
        <w:rPr>
          <w:b/>
        </w:rPr>
        <w:t>Sofortige Rückgabe</w:t>
      </w:r>
      <w:r>
        <w:t xml:space="preserve"> der sichergestellten Gegenstände Asserv. 2025/03/11-001 bis -006, hilfsweise</w:t>
      </w:r>
    </w:p>
    <w:p>
      <w:pPr>
        <w:pStyle w:val="ListNumber"/>
      </w:pPr>
      <w:r>
        <w:rPr>
          <w:b/>
        </w:rPr>
        <w:t>Richterliche Siegelung</w:t>
      </w:r>
      <w:r>
        <w:t xml:space="preserve"> bis zur gerichtlichen Entscheidung über Beschlagnahmefähigkeit,</w:t>
      </w:r>
    </w:p>
    <w:p>
      <w:pPr>
        <w:pStyle w:val="ListNumber"/>
      </w:pPr>
      <w:r>
        <w:rPr>
          <w:b/>
        </w:rPr>
        <w:t>Vollständiges Verwertungsverbot</w:t>
      </w:r>
      <w:r>
        <w:t xml:space="preserve"> für alle bis zur Entscheidung etwa bereits gewonnenen Erkenntnisse,</w:t>
      </w:r>
    </w:p>
    <w:p>
      <w:pPr>
        <w:pStyle w:val="ListNumber"/>
      </w:pPr>
      <w:r>
        <w:rPr>
          <w:b/>
        </w:rPr>
        <w:t>Richterlicher Sachverständiger</w:t>
      </w:r>
      <w:r>
        <w:t xml:space="preserve"> für digitale Datenauswertung bei Entscheidung über Teilfreigabe.</w:t>
      </w:r>
    </w:p>
    <w:p>
      <w:pPr>
        <w:jc w:val="left"/>
      </w:pPr>
      <w:r>
        <w:t>Ich behalte mir weitere Rechtsbehelfe, insbesondere eine Verfassungsbeschwerde, ausdrücklich vor.</w:t>
      </w:r>
    </w:p>
    <w:p>
      <w:pPr>
        <w:jc w:val="left"/>
      </w:pPr>
      <w:r>
        <w:t>Mit freundlichen kollegialen Grüßen</w:t>
      </w:r>
    </w:p>
    <w:p>
      <w:pPr>
        <w:jc w:val="left"/>
      </w:pPr>
      <w:r>
        <w:rPr>
          <w:b/>
        </w:rPr>
        <w:t>Dr. Friederike Marx</w:t>
      </w:r>
    </w:p>
    <w:p>
      <w:pPr>
        <w:jc w:val="left"/>
      </w:pPr>
      <w:r>
        <w:t>Fachanwältin für Strafrecht</w:t>
      </w:r>
    </w:p>
    <w:p/>
    <w:p>
      <w:pPr>
        <w:jc w:val="left"/>
      </w:pPr>
      <w:r>
        <w:rPr>
          <w:i/>
        </w:rPr>
        <w:t>Az. AG Frankfurt: 942 Gs 2847/25 — Az. StA: 5400 Js 14782/24</w:t>
      </w:r>
    </w:p>
    <w:p>
      <w:pPr>
        <w:jc w:val="left"/>
      </w:pPr>
      <w:r>
        <w:rPr>
          <w:i/>
        </w:rPr>
        <w:t>Schriftsatz Marx Strafverteidigung Frankfurt, 12.03.2025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