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Adäsionsantrag ABC Großabnehmer SE — Aktenvermerk und Gegenstrategie</w:t>
      </w:r>
    </w:p>
    <w:p>
      <w:pPr>
        <w:jc w:val="left"/>
      </w:pPr>
      <w:r>
        <w:rPr>
          <w:b/>
        </w:rPr>
        <w:t>Marx Strafverteidigung Frankfurt</w:t>
      </w:r>
    </w:p>
    <w:p>
      <w:pPr>
        <w:jc w:val="left"/>
      </w:pPr>
      <w:r>
        <w:rPr>
          <w:b/>
        </w:rPr>
        <w:t>Vertraulich — Anwaltsgeheimnis § 53 StPO</w:t>
      </w:r>
    </w:p>
    <w:p>
      <w:pPr>
        <w:jc w:val="left"/>
      </w:pPr>
      <w:r>
        <w:t>Erstellt von: Dr. Friederike Marx</w:t>
      </w:r>
    </w:p>
    <w:p>
      <w:pPr>
        <w:jc w:val="left"/>
      </w:pPr>
      <w:r>
        <w:t>Datum: 09. Mai 2025</w:t>
      </w:r>
    </w:p>
    <w:p>
      <w:pPr>
        <w:jc w:val="left"/>
      </w:pPr>
      <w:r>
        <w:t>Az.: 5/28 KLs 122/25</w:t>
      </w:r>
    </w:p>
    <w:p/>
    <w:p>
      <w:pPr>
        <w:pStyle w:val="Heading2"/>
      </w:pPr>
      <w:r>
        <w:rPr>
          <w:rFonts w:ascii="Times New Roman" w:hAnsi="Times New Roman"/>
        </w:rPr>
        <w:t>1. Adäsionsantrag — Überblick</w:t>
      </w:r>
    </w:p>
    <w:p>
      <w:pPr>
        <w:jc w:val="left"/>
      </w:pPr>
      <w:r>
        <w:rPr>
          <w:b/>
        </w:rPr>
        <w:t>Antragstellerin:</w:t>
      </w:r>
      <w:r>
        <w:t xml:space="preserve"> ABC Großabnehmer SE</w:t>
      </w:r>
    </w:p>
    <w:p>
      <w:pPr>
        <w:jc w:val="left"/>
      </w:pPr>
      <w:r>
        <w:rPr>
          <w:b/>
        </w:rPr>
        <w:t>Bevollmächtigter:</w:t>
      </w:r>
      <w:r>
        <w:t xml:space="preserve"> RA Michael Krämer, Krämer Hauck Rechtsanwälte, Frankfurt</w:t>
      </w:r>
    </w:p>
    <w:p>
      <w:pPr>
        <w:jc w:val="left"/>
      </w:pPr>
      <w:r>
        <w:rPr>
          <w:b/>
        </w:rPr>
        <w:t>Eingereicht:</w:t>
      </w:r>
      <w:r>
        <w:t xml:space="preserve"> 05. Mai 2025 beim LG Frankfurt am Main, 14. Große Wirtschaftsstrafkammer</w:t>
      </w:r>
    </w:p>
    <w:p>
      <w:pPr>
        <w:jc w:val="left"/>
      </w:pPr>
      <w:r>
        <w:rPr>
          <w:b/>
        </w:rPr>
        <w:t>Zugestellt an Verteidigung:</w:t>
      </w:r>
      <w:r>
        <w:t xml:space="preserve"> 07. Mai 2025 per beA</w:t>
      </w:r>
    </w:p>
    <w:p>
      <w:pPr>
        <w:jc w:val="left"/>
      </w:pPr>
      <w:r>
        <w:rPr>
          <w:b/>
        </w:rPr>
        <w:t>Gesamtforderung:</w:t>
      </w:r>
      <w:r>
        <w:t xml:space="preserve"> 3.800.000 EUR Schadensersatz</w:t>
      </w:r>
    </w:p>
    <w:p>
      <w:pPr>
        <w:jc w:val="left"/>
      </w:pPr>
      <w:r>
        <w:t>zuzüglich Zinsen seit 01.01.2023: 5 Prozentpunkte über Basiszinssatz</w:t>
      </w:r>
    </w:p>
    <w:p/>
    <w:p>
      <w:pPr>
        <w:pStyle w:val="Heading2"/>
      </w:pPr>
      <w:r>
        <w:rPr>
          <w:rFonts w:ascii="Times New Roman" w:hAnsi="Times New Roman"/>
        </w:rPr>
        <w:t>2. Aufschlüsselung der Forderungen</w:t>
      </w:r>
    </w:p>
    <w:p>
      <w:pPr>
        <w:jc w:val="left"/>
      </w:pPr>
      <w:r>
        <w:t>Laut Adäsionsantrag (Az. LG Frankfurt 5/28 KLs 122/25 Adhäsion) gliedert sich der Schaden wie folgt: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Vertragsgruppe</w:t>
            </w:r>
          </w:p>
        </w:tc>
        <w:tc>
          <w:tcPr>
            <w:tcW w:type="dxa" w:w="2268"/>
          </w:tcPr>
          <w:p>
            <w:r>
              <w:rPr>
                <w:rFonts w:ascii="Times New Roman" w:hAnsi="Times New Roman"/>
                <w:b/>
                <w:sz w:val="20"/>
              </w:rPr>
              <w:t>VZ</w:t>
            </w:r>
          </w:p>
        </w:tc>
        <w:tc>
          <w:tcPr>
            <w:tcW w:type="dxa" w:w="2268"/>
          </w:tcPr>
          <w:p>
            <w:r>
              <w:rPr>
                <w:rFonts w:ascii="Times New Roman" w:hAnsi="Times New Roman"/>
                <w:b/>
                <w:sz w:val="20"/>
              </w:rPr>
              <w:t>Vertragsanzahl</w:t>
            </w:r>
          </w:p>
        </w:tc>
        <w:tc>
          <w:tcPr>
            <w:tcW w:type="dxa" w:w="2268"/>
          </w:tcPr>
          <w:p>
            <w:r>
              <w:rPr>
                <w:rFonts w:ascii="Times New Roman" w:hAnsi="Times New Roman"/>
                <w:b/>
                <w:sz w:val="20"/>
              </w:rPr>
              <w:t>Geford. Schadensersatz</w:t>
            </w:r>
          </w:p>
        </w:tc>
      </w:tr>
      <w:tr>
        <w:tc>
          <w:tcPr>
            <w:tcW w:type="dxa" w:w="2268"/>
          </w:tcPr>
          <w:p>
            <w:r>
              <w:rPr>
                <w:rFonts w:ascii="Times New Roman" w:hAnsi="Times New Roman"/>
                <w:sz w:val="20"/>
              </w:rPr>
              <w:t>Gruppe A — Schweißroboter</w:t>
            </w:r>
          </w:p>
        </w:tc>
        <w:tc>
          <w:tcPr>
            <w:tcW w:type="dxa" w:w="2268"/>
          </w:tcPr>
          <w:p>
            <w:r>
              <w:rPr>
                <w:rFonts w:ascii="Times New Roman" w:hAnsi="Times New Roman"/>
                <w:sz w:val="20"/>
              </w:rPr>
              <w:t>2019</w:t>
            </w:r>
          </w:p>
        </w:tc>
        <w:tc>
          <w:tcPr>
            <w:tcW w:type="dxa" w:w="2268"/>
          </w:tcPr>
          <w:p>
            <w:r>
              <w:rPr>
                <w:rFonts w:ascii="Times New Roman" w:hAnsi="Times New Roman"/>
                <w:sz w:val="20"/>
              </w:rPr>
              <w:t>3</w:t>
            </w:r>
          </w:p>
        </w:tc>
        <w:tc>
          <w:tcPr>
            <w:tcW w:type="dxa" w:w="2268"/>
          </w:tcPr>
          <w:p>
            <w:r>
              <w:rPr>
                <w:rFonts w:ascii="Times New Roman" w:hAnsi="Times New Roman"/>
                <w:sz w:val="20"/>
              </w:rPr>
              <w:t>580.000 EUR</w:t>
            </w:r>
          </w:p>
        </w:tc>
      </w:tr>
      <w:tr>
        <w:tc>
          <w:tcPr>
            <w:tcW w:type="dxa" w:w="2268"/>
          </w:tcPr>
          <w:p>
            <w:r>
              <w:rPr>
                <w:rFonts w:ascii="Times New Roman" w:hAnsi="Times New Roman"/>
                <w:sz w:val="20"/>
              </w:rPr>
              <w:t>Gruppe B — Montageautomation</w:t>
            </w:r>
          </w:p>
        </w:tc>
        <w:tc>
          <w:tcPr>
            <w:tcW w:type="dxa" w:w="2268"/>
          </w:tcPr>
          <w:p>
            <w:r>
              <w:rPr>
                <w:rFonts w:ascii="Times New Roman" w:hAnsi="Times New Roman"/>
                <w:sz w:val="20"/>
              </w:rPr>
              <w:t>2020</w:t>
            </w:r>
          </w:p>
        </w:tc>
        <w:tc>
          <w:tcPr>
            <w:tcW w:type="dxa" w:w="2268"/>
          </w:tcPr>
          <w:p>
            <w:r>
              <w:rPr>
                <w:rFonts w:ascii="Times New Roman" w:hAnsi="Times New Roman"/>
                <w:sz w:val="20"/>
              </w:rPr>
              <w:t>4</w:t>
            </w:r>
          </w:p>
        </w:tc>
        <w:tc>
          <w:tcPr>
            <w:tcW w:type="dxa" w:w="2268"/>
          </w:tcPr>
          <w:p>
            <w:r>
              <w:rPr>
                <w:rFonts w:ascii="Times New Roman" w:hAnsi="Times New Roman"/>
                <w:sz w:val="20"/>
              </w:rPr>
              <w:t>920.000 EUR</w:t>
            </w:r>
          </w:p>
        </w:tc>
      </w:tr>
      <w:tr>
        <w:tc>
          <w:tcPr>
            <w:tcW w:type="dxa" w:w="2268"/>
          </w:tcPr>
          <w:p>
            <w:r>
              <w:rPr>
                <w:rFonts w:ascii="Times New Roman" w:hAnsi="Times New Roman"/>
                <w:sz w:val="20"/>
              </w:rPr>
              <w:t>Gruppe C — Prüfautomaten</w:t>
            </w:r>
          </w:p>
        </w:tc>
        <w:tc>
          <w:tcPr>
            <w:tcW w:type="dxa" w:w="2268"/>
          </w:tcPr>
          <w:p>
            <w:r>
              <w:rPr>
                <w:rFonts w:ascii="Times New Roman" w:hAnsi="Times New Roman"/>
                <w:sz w:val="20"/>
              </w:rPr>
              <w:t>2021</w:t>
            </w:r>
          </w:p>
        </w:tc>
        <w:tc>
          <w:tcPr>
            <w:tcW w:type="dxa" w:w="2268"/>
          </w:tcPr>
          <w:p>
            <w:r>
              <w:rPr>
                <w:rFonts w:ascii="Times New Roman" w:hAnsi="Times New Roman"/>
                <w:sz w:val="20"/>
              </w:rPr>
              <w:t>4</w:t>
            </w:r>
          </w:p>
        </w:tc>
        <w:tc>
          <w:tcPr>
            <w:tcW w:type="dxa" w:w="2268"/>
          </w:tcPr>
          <w:p>
            <w:r>
              <w:rPr>
                <w:rFonts w:ascii="Times New Roman" w:hAnsi="Times New Roman"/>
                <w:sz w:val="20"/>
              </w:rPr>
              <w:t>1.100.000 EUR</w:t>
            </w:r>
          </w:p>
        </w:tc>
      </w:tr>
      <w:tr>
        <w:tc>
          <w:tcPr>
            <w:tcW w:type="dxa" w:w="2268"/>
          </w:tcPr>
          <w:p>
            <w:r>
              <w:rPr>
                <w:rFonts w:ascii="Times New Roman" w:hAnsi="Times New Roman"/>
                <w:sz w:val="20"/>
              </w:rPr>
              <w:t>Gruppe D — Fördertechnik</w:t>
            </w:r>
          </w:p>
        </w:tc>
        <w:tc>
          <w:tcPr>
            <w:tcW w:type="dxa" w:w="2268"/>
          </w:tcPr>
          <w:p>
            <w:r>
              <w:rPr>
                <w:rFonts w:ascii="Times New Roman" w:hAnsi="Times New Roman"/>
                <w:sz w:val="20"/>
              </w:rPr>
              <w:t>2022</w:t>
            </w:r>
          </w:p>
        </w:tc>
        <w:tc>
          <w:tcPr>
            <w:tcW w:type="dxa" w:w="2268"/>
          </w:tcPr>
          <w:p>
            <w:r>
              <w:rPr>
                <w:rFonts w:ascii="Times New Roman" w:hAnsi="Times New Roman"/>
                <w:sz w:val="20"/>
              </w:rPr>
              <w:t>3</w:t>
            </w:r>
          </w:p>
        </w:tc>
        <w:tc>
          <w:tcPr>
            <w:tcW w:type="dxa" w:w="2268"/>
          </w:tcPr>
          <w:p>
            <w:r>
              <w:rPr>
                <w:rFonts w:ascii="Times New Roman" w:hAnsi="Times New Roman"/>
                <w:sz w:val="20"/>
              </w:rPr>
              <w:t>1.200.000 EUR</w:t>
            </w:r>
          </w:p>
        </w:tc>
      </w:tr>
      <w:tr>
        <w:tc>
          <w:tcPr>
            <w:tcW w:type="dxa" w:w="2268"/>
          </w:tcPr>
          <w:p>
            <w:r>
              <w:rPr>
                <w:rFonts w:ascii="Times New Roman" w:hAnsi="Times New Roman"/>
                <w:b/>
                <w:sz w:val="20"/>
              </w:rPr>
              <w:t>Gesamt</w:t>
            </w:r>
          </w:p>
        </w:tc>
        <w:tc>
          <w:tcPr>
            <w:tcW w:type="dxa" w:w="2268"/>
          </w:tcPr>
          <w:p/>
        </w:tc>
        <w:tc>
          <w:tcPr>
            <w:tcW w:type="dxa" w:w="2268"/>
          </w:tcPr>
          <w:p>
            <w:r>
              <w:rPr>
                <w:rFonts w:ascii="Times New Roman" w:hAnsi="Times New Roman"/>
                <w:b/>
                <w:sz w:val="20"/>
              </w:rPr>
              <w:t>14</w:t>
            </w:r>
          </w:p>
        </w:tc>
        <w:tc>
          <w:tcPr>
            <w:tcW w:type="dxa" w:w="2268"/>
          </w:tcPr>
          <w:p>
            <w:r>
              <w:rPr>
                <w:rFonts w:ascii="Times New Roman" w:hAnsi="Times New Roman"/>
                <w:b/>
                <w:sz w:val="20"/>
              </w:rPr>
              <w:t>3.800.000 EUR</w:t>
            </w:r>
          </w:p>
        </w:tc>
      </w:tr>
    </w:tbl>
    <w:p>
      <w:pPr>
        <w:jc w:val="left"/>
      </w:pPr>
      <w:r>
        <w:t>Auffällig: Die Summe liegt 500.000 EUR unter dem in der Anklageschrift genannten Betrag (4.300.000 EUR). RA Krämer hat dies in einer kurzen Fußnote damit begründet, dass interne Revisionskosten, Betriebsunterbrechungsschäden und Folgeschäden aus Wartungsverträgen ausdrücklich nicht Gegenstand des Adäsionsantrags sind und für eine gesonderte Zivilklage vorbehalten bleiben.</w:t>
      </w:r>
    </w:p>
    <w:p/>
    <w:p>
      <w:pPr>
        <w:pStyle w:val="Heading2"/>
      </w:pPr>
      <w:r>
        <w:rPr>
          <w:rFonts w:ascii="Times New Roman" w:hAnsi="Times New Roman"/>
        </w:rPr>
        <w:t>3. Rechtliche Grundlagen und Zulässigkeit</w:t>
      </w:r>
    </w:p>
    <w:p>
      <w:pPr>
        <w:jc w:val="left"/>
      </w:pPr>
      <w:r>
        <w:rPr>
          <w:b/>
        </w:rPr>
        <w:t>§ 403 StPO</w:t>
      </w:r>
      <w:r>
        <w:t xml:space="preserve"> ermöglicht Verletzten, Ansprüche aus der Straftat im Strafverfahren geltend zu machen. Voraussetzungen:</w:t>
      </w:r>
    </w:p>
    <w:p>
      <w:pPr>
        <w:pStyle w:val="ListNumber"/>
      </w:pPr>
      <w:r>
        <w:rPr>
          <w:b/>
        </w:rPr>
        <w:t>Verletzteneigenschaft:</w:t>
      </w:r>
      <w:r>
        <w:t xml:space="preserve"> Die ABC SE ist durch die behaupteten Betrugstaten in ihrem Vermögen geschädigt worden — sofern die Tatvorwürfe zutreffen. Dies ist verfahrensimmanent.</w:t>
      </w:r>
    </w:p>
    <w:p>
      <w:pPr>
        <w:pStyle w:val="ListNumber"/>
      </w:pPr>
      <w:r>
        <w:rPr>
          <w:b/>
        </w:rPr>
        <w:t>Anspruchsgrundlage:</w:t>
      </w:r>
      <w:r>
        <w:t xml:space="preserve"> Schadensersatz wegen vorsätzlicher sittenwidriger Schädigung (§§ 823 Abs. 2, 826 BGB i.V.m. § 263 StGB). Bei einem Betrug ist § 823 Abs. 2 BGB i.V.m. dem Schutzgesetz § 263 StGB die naheliegende Grundlage.</w:t>
      </w:r>
    </w:p>
    <w:p>
      <w:pPr>
        <w:pStyle w:val="ListNumber"/>
      </w:pPr>
      <w:r>
        <w:rPr>
          <w:b/>
        </w:rPr>
        <w:t>Zulässigkeit im Strafverfahren:</w:t>
      </w:r>
      <w:r>
        <w:t xml:space="preserve"> Das Gericht kann gemäß § 406 StPO im Urteil über den Anspruch entscheiden oder von einer Entscheidung absehen, wenn sie das Strafverfahren wesentlich verzögern würde oder wenn der Anspruch nicht hinreichend dargetan ist. Bei einem Streitwert von 3,8 Mio. EUR und einem komplexen Strafverfahren ist damit zu rechnen, dass das Gericht die Entscheidung gemäß § 406 Abs. 1 S. 4 StPO verweigert und den Zivilrechtsweg empfiehlt.</w:t>
      </w:r>
    </w:p>
    <w:p/>
    <w:p>
      <w:pPr>
        <w:pStyle w:val="Heading2"/>
      </w:pPr>
      <w:r>
        <w:rPr>
          <w:rFonts w:ascii="Times New Roman" w:hAnsi="Times New Roman"/>
        </w:rPr>
        <w:t>4. Gegenstrategie der Verteidigung</w:t>
      </w:r>
    </w:p>
    <w:p>
      <w:pPr>
        <w:pStyle w:val="Heading3"/>
      </w:pPr>
      <w:r>
        <w:rPr>
          <w:rFonts w:ascii="Times New Roman" w:hAnsi="Times New Roman"/>
        </w:rPr>
        <w:t>4.1 Antrag auf Verweisung</w:t>
      </w:r>
    </w:p>
    <w:p>
      <w:pPr>
        <w:jc w:val="left"/>
      </w:pPr>
      <w:r>
        <w:t>Die Verteidigung wird beantragen, dass das Gericht gemäß § 406 Abs. 1 S. 4 StPO von der Entscheidung über den Adäsionsantrag absieht. Begründung:</w:t>
      </w:r>
    </w:p>
    <w:p>
      <w:pPr>
        <w:pStyle w:val="ListBullet"/>
      </w:pPr>
      <w:r>
        <w:t>Die Schadensberechnung der ABC SE ist komplex und erfordert eine eigenständige Beweisaufnahme über den tatsächlichen Wert der gelieferten Anlagen — dies würde das Strafverfahren erheblich verzögern.</w:t>
      </w:r>
    </w:p>
    <w:p>
      <w:pPr>
        <w:pStyle w:val="ListBullet"/>
      </w:pPr>
      <w:r>
        <w:t>Der Streitwert von 3,8 Mio. EUR übersteigt die Grenzen, die im Rahmen eines ohnehin komplexen Wirtschaftsstrafverfahrens ohne erhebliche Verfahrensverzögerung bewältigt werden können.</w:t>
      </w:r>
    </w:p>
    <w:p>
      <w:pPr>
        <w:pStyle w:val="ListBullet"/>
      </w:pPr>
      <w:r>
        <w:t>Die Gegenforderungen und Einwendungen des Angeklagten (Wissensstand Pollmann, Mitverantwortung der ABC-internen Prüfstelle) können im Strafverfahren nicht vollständig gewürdigt werden.</w:t>
      </w:r>
    </w:p>
    <w:p>
      <w:pPr>
        <w:pStyle w:val="Heading3"/>
      </w:pPr>
      <w:r>
        <w:rPr>
          <w:rFonts w:ascii="Times New Roman" w:hAnsi="Times New Roman"/>
        </w:rPr>
        <w:t>4.2 Bestreiten der Schadenshöhe</w:t>
      </w:r>
    </w:p>
    <w:p>
      <w:pPr>
        <w:jc w:val="left"/>
      </w:pPr>
      <w:r>
        <w:t>Hilfsweise — falls das Gericht den Adäsionsantrag nicht verweist — wird die Verteidigung die geltend gemachten Schadensbeträge substantiiert bestreiten:</w:t>
      </w:r>
    </w:p>
    <w:p>
      <w:pPr>
        <w:pStyle w:val="ListBullet"/>
      </w:pPr>
      <w:r>
        <w:t>Das Gegengutachten zur Maschinenbewertung (vgl. Aktenstück 08) soll belegen, dass der tatsächliche Minderwerter deutlich geringer ist als vom Anklagegutachten berechnet.</w:t>
      </w:r>
    </w:p>
    <w:p>
      <w:pPr>
        <w:pStyle w:val="ListBullet"/>
      </w:pPr>
      <w:r>
        <w:t>Für Gruppe A (Schweißroboter 2019) bestreitet die Verteidigung jeden Schaden: Die gelieferten Anlagen liefen nachweislich mehrere Jahre störungsfrei (vgl. Wartungsprotokolle, Bd. X).</w:t>
      </w:r>
    </w:p>
    <w:p>
      <w:pPr>
        <w:pStyle w:val="ListBullet"/>
      </w:pPr>
      <w:r>
        <w:t>Für Gruppe D (Fördertechnik 2022) hat die ABC SE die gelieferten Anlagen nach eigenen Angaben noch bis Juni 2023 im Betrieb eingesetzt — eine schadlos genutzte Anlage ist nicht wertlos.</w:t>
      </w:r>
    </w:p>
    <w:p>
      <w:pPr>
        <w:pStyle w:val="Heading3"/>
      </w:pPr>
      <w:r>
        <w:rPr>
          <w:rFonts w:ascii="Times New Roman" w:hAnsi="Times New Roman"/>
        </w:rPr>
        <w:t>4.3 Mitverschulden ABC SE (§ 254 BGB)</w:t>
      </w:r>
    </w:p>
    <w:p>
      <w:pPr>
        <w:jc w:val="left"/>
      </w:pPr>
      <w:r>
        <w:t>Die ABC SE hat nach eigenem Bekunden interne Qualitätsprüfungen vorgesehen (Prüfvermerk ab 150.000 EUR, der in 4 von 14 Fällen fehlte). Fehlendes Eigenverschulden der Käuferin ist auch zivilrechtlich relevant (§ 254 BGB). Die Mitverantwortung der ABC SE soll im Adäsionsverfahren geltend gemacht werden.</w:t>
      </w:r>
    </w:p>
    <w:p/>
    <w:p>
      <w:pPr>
        <w:pStyle w:val="Heading2"/>
      </w:pPr>
      <w:r>
        <w:rPr>
          <w:rFonts w:ascii="Times New Roman" w:hAnsi="Times New Roman"/>
        </w:rPr>
        <w:t>5. Außergerichtliche Vergleichsoption</w:t>
      </w:r>
    </w:p>
    <w:p>
      <w:pPr>
        <w:jc w:val="left"/>
      </w:pPr>
      <w:r>
        <w:t>RA Krämer hat informell angedeutet, dass ein außergerichtlicher Vergleich für die ABC SE in Betracht käme, wenn eine „substantielle" Zahlung gesichert sei. Als Untergrenze wurde informell ein Betrag von ca. 1,8–2,0 Mio. EUR genannt.</w:t>
      </w:r>
    </w:p>
    <w:p>
      <w:pPr>
        <w:jc w:val="left"/>
      </w:pPr>
      <w:r>
        <w:t>Im Rahmen der laufenden Verständigungsgespräche könnte eine koordinierte Lösung angestrebt werden: Geständnis im Strafverfahren + Zivilvergleich ABC + Einstellung Untreue. Hierdurch ließe sich das Gesamtrisiko des Mandanten deutlich reduzieren.</w:t>
      </w:r>
    </w:p>
    <w:p>
      <w:pPr>
        <w:jc w:val="left"/>
      </w:pPr>
      <w:r>
        <w:rPr>
          <w:b/>
        </w:rPr>
        <w:t>Empfehlung:</w:t>
      </w:r>
      <w:r>
        <w:t xml:space="preserve"> Sobald die Entscheidung über die Verständigung fällt, separate Vergleichsgespräche mit RA Krämer aufnehmen.</w:t>
      </w:r>
    </w:p>
    <w:p/>
    <w:p>
      <w:pPr>
        <w:jc w:val="left"/>
      </w:pPr>
      <w:r>
        <w:rPr>
          <w:i/>
        </w:rPr>
        <w:t>Dr. Friederike Marx — Marx Strafverteidigung Frankfurt — Az. 5/28 KLs 122/25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Adäsionsantrag ABC Großabnehmer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Adäsionsantrag ABC Großabnehmer SE</w:t>
    </w:r>
  </w:p>
  <w:p>
    <w:pPr>
      <w:jc w:val="left"/>
      <w:pBdr>
        <w:bottom w:val="single" w:sz="6" w:space="2" w:color="3B3F45"/>
      </w:pBdr>
    </w:pPr>
    <w:r>
      <w:rPr>
        <w:rFonts w:ascii="Times New Roman" w:hAnsi="Times New Roman"/>
        <w:color w:val="6B6B66"/>
        <w:sz w:val="16"/>
      </w:rPr>
      <w:t>Unternehmen · Az.: 5/28 KLs 122/25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