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Hauszitierregeln Kanzlei Roosendaal Birkenhainer Partners mbB (v4.0)</w:t>
      </w:r>
    </w:p>
    <w:p>
      <w:pPr>
        <w:jc w:val="left"/>
      </w:pPr>
      <w:r>
        <w:rPr>
          <w:b/>
        </w:rPr>
        <w:t>Kanzlei Roosendaal Birkenhainer Partners mbB</w:t>
      </w:r>
    </w:p>
    <w:p>
      <w:pPr>
        <w:jc w:val="left"/>
      </w:pPr>
      <w:r>
        <w:rPr>
          <w:b/>
        </w:rPr>
        <w:t>Kanzleihandbuch Zitierweise — Version 4.0 (Oktober 2025)</w:t>
      </w:r>
    </w:p>
    <w:p>
      <w:pPr>
        <w:jc w:val="left"/>
      </w:pPr>
      <w:r>
        <w:rPr>
          <w:b/>
        </w:rPr>
        <w:t>Federführung: Dr. Henrik Roosendaal | Erstellung: Dr. Sophia Pohlmann-Wittfeldt | Knowledge: Moritz Lattermann</w:t>
      </w:r>
    </w:p>
    <w:p/>
    <w:p>
      <w:pPr>
        <w:pStyle w:val="Heading2"/>
      </w:pPr>
      <w:r>
        <w:rPr>
          <w:rFonts w:ascii="Times New Roman" w:hAnsi="Times New Roman"/>
        </w:rPr>
        <w:t>A. Grundprinzipien</w:t>
      </w:r>
    </w:p>
    <w:p>
      <w:pPr>
        <w:pStyle w:val="Heading3"/>
      </w:pPr>
      <w:r>
        <w:rPr>
          <w:rFonts w:ascii="Times New Roman" w:hAnsi="Times New Roman"/>
        </w:rPr>
        <w:t>A.1 Vorrang amtlicher Quellen</w:t>
      </w:r>
    </w:p>
    <w:p>
      <w:pPr>
        <w:jc w:val="left"/>
      </w:pPr>
      <w:r>
        <w:t>Amtliche Sammlungen (BGHZ, BGHSt, BVerfGE, BFHE, BVerwGE, BSGE, BAGE) gehen freien und kommerziellen Quellen stets vor. Bei Mehrfach-Fundstellen wird die amtliche Sammlung zuerst genannt, dann die erste juristische Fachzeitschrift, dann sonstige Quellen.</w:t>
      </w:r>
    </w:p>
    <w:p>
      <w:pPr>
        <w:jc w:val="left"/>
      </w:pPr>
      <w:r>
        <w:rPr>
          <w:b/>
        </w:rPr>
        <w:t>Rangfolge:</w:t>
      </w:r>
    </w:p>
    <w:p>
      <w:pPr>
        <w:pStyle w:val="ListNumber"/>
      </w:pPr>
      <w:r>
        <w:t>Amtliche Sammlung (BGHZ, BVerfGE, BFHE, BVerwGE, BSGE, BAGE)</w:t>
      </w:r>
    </w:p>
    <w:p>
      <w:pPr>
        <w:pStyle w:val="ListNumber"/>
      </w:pPr>
      <w:r>
        <w:t>NJW, JZ, MDR, AcP (erste relevante Fachzeitschrift)</w:t>
      </w:r>
    </w:p>
    <w:p>
      <w:pPr>
        <w:pStyle w:val="ListNumber"/>
      </w:pPr>
      <w:r>
        <w:t>Spezialisierte Zeitschriften (FamRZ, NZA, BStBl., NVwZ usw.)</w:t>
      </w:r>
    </w:p>
    <w:p>
      <w:pPr>
        <w:pStyle w:val="ListNumber"/>
      </w:pPr>
      <w:r>
        <w:t>Freie Online-Quellen: dejure.org, openjur.de (mit URL)</w:t>
      </w:r>
    </w:p>
    <w:p>
      <w:pPr>
        <w:pStyle w:val="ListNumber"/>
      </w:pPr>
      <w:r>
        <w:t>BeckRS (nur bei aktivem Lizenzzugang; sonst: Prüfvermerk BeckRS-Sperre)</w:t>
      </w:r>
    </w:p>
    <w:p>
      <w:pPr>
        <w:pStyle w:val="Heading3"/>
      </w:pPr>
      <w:r>
        <w:rPr>
          <w:rFonts w:ascii="Times New Roman" w:hAnsi="Times New Roman"/>
        </w:rPr>
        <w:t>A.2 Mindeststandard Rechtsprechungszitate</w:t>
      </w:r>
    </w:p>
    <w:p>
      <w:pPr>
        <w:jc w:val="left"/>
      </w:pPr>
      <w:r>
        <w:t>Jedes Rechtsprechungszitat muss enthalten:</w:t>
      </w:r>
    </w:p>
    <w:p>
      <w:pPr>
        <w:pStyle w:val="ListBullet"/>
      </w:pPr>
      <w:r>
        <w:t>Gericht (Abkürzung gemäß Liste in Abschnitt E)</w:t>
      </w:r>
    </w:p>
    <w:p>
      <w:pPr>
        <w:pStyle w:val="ListBullet"/>
      </w:pPr>
      <w:r>
        <w:t>Datum der Entscheidung (TT.MM.JJJJ)</w:t>
      </w:r>
    </w:p>
    <w:p>
      <w:pPr>
        <w:pStyle w:val="ListBullet"/>
      </w:pPr>
      <w:r>
        <w:t>Aktenzeichen</w:t>
      </w:r>
    </w:p>
    <w:p>
      <w:pPr>
        <w:pStyle w:val="ListBullet"/>
      </w:pPr>
      <w:r>
        <w:t>Fundstelle (amtliche Sammlung ODER Zeitschrift ODER freie Quelle mit URL)</w:t>
      </w:r>
    </w:p>
    <w:p>
      <w:pPr>
        <w:jc w:val="left"/>
      </w:pPr>
      <w:r>
        <w:t>Fehlt eines der vier Elemente, ist das Zitat unvollständig. Ein Prüfvermerk ist zu setzen.</w:t>
      </w:r>
    </w:p>
    <w:p>
      <w:pPr>
        <w:pStyle w:val="Heading3"/>
      </w:pPr>
      <w:r>
        <w:rPr>
          <w:rFonts w:ascii="Times New Roman" w:hAnsi="Times New Roman"/>
        </w:rPr>
        <w:t>A.3 Mindeststandard Literaturzitate</w:t>
      </w:r>
    </w:p>
    <w:p>
      <w:pPr>
        <w:jc w:val="left"/>
      </w:pPr>
      <w:r>
        <w:t>Jedes Literaturzitat muss enthalten:</w:t>
      </w:r>
    </w:p>
    <w:p>
      <w:pPr>
        <w:pStyle w:val="ListBullet"/>
      </w:pPr>
      <w:r>
        <w:t>Autorenname(n) bzw. Herausgeber</w:t>
      </w:r>
    </w:p>
    <w:p>
      <w:pPr>
        <w:pStyle w:val="ListBullet"/>
      </w:pPr>
      <w:r>
        <w:t>Kurztitel oder Langtitel (nach erstem Vollbeleg)</w:t>
      </w:r>
    </w:p>
    <w:p>
      <w:pPr>
        <w:pStyle w:val="ListBullet"/>
      </w:pPr>
      <w:r>
        <w:t>Erscheinungsjahr oder Auflage</w:t>
      </w:r>
    </w:p>
    <w:p>
      <w:pPr>
        <w:pStyle w:val="ListBullet"/>
      </w:pPr>
      <w:r>
        <w:t>Seiten- oder Randnummernangabe (Rn.)</w:t>
      </w:r>
    </w:p>
    <w:p>
      <w:pPr>
        <w:pStyle w:val="Heading3"/>
      </w:pPr>
      <w:r>
        <w:rPr>
          <w:rFonts w:ascii="Times New Roman" w:hAnsi="Times New Roman"/>
        </w:rPr>
        <w:t>A.4 BeckRS-Regel (Neu in v4.0)</w:t>
      </w:r>
    </w:p>
    <w:p>
      <w:pPr>
        <w:jc w:val="left"/>
      </w:pPr>
      <w:r>
        <w:t xml:space="preserve">BeckRS-Fundstellen dürfen nur ausgegeben werden, wenn der Nutzer einen aktiven Lizenzzugang zu Beck-Online nachweist oder ein solcher für die Kanzlei besteht. Fehlt der Nachweis oder ist die Zugänglichkeit unklar, gibt das Plugin </w:t>
      </w:r>
      <w:r>
        <w:t>zitierweise-deutsches-recht</w:t>
      </w:r>
      <w:r>
        <w:t xml:space="preserve"> einen Prüfvermerk aus:</w:t>
      </w:r>
    </w:p>
    <w:p>
      <w:pPr>
        <w:ind w:left="567"/>
      </w:pPr>
      <w:r>
        <w:rPr>
          <w:b/>
          <w:i/>
        </w:rPr>
        <w:t>[PRÜFVERMERK — BeckRS-SPERRE]</w:t>
      </w:r>
      <w:r>
        <w:rPr>
          <w:i/>
        </w:rPr>
        <w:t xml:space="preserve"> Die Fundstelle BeckRS JJJJ, XXXXX konnte nicht verifiziert werden. Prüfe amtliche Quelle (bundesgerichtshof.de / bundesverfassungsgericht.de) oder freie Quelle (dejure.org / openjur.de). Ausgabe gesperrt bis Verifikation.</w:t>
      </w:r>
    </w:p>
    <w:p>
      <w:pPr>
        <w:pStyle w:val="Heading3"/>
      </w:pPr>
      <w:r>
        <w:rPr>
          <w:rFonts w:ascii="Times New Roman" w:hAnsi="Times New Roman"/>
        </w:rPr>
        <w:t>A.5 Modellwissen-Sperre Literatur</w:t>
      </w:r>
    </w:p>
    <w:p>
      <w:pPr>
        <w:jc w:val="left"/>
      </w:pPr>
      <w:r>
        <w:t>Das Plugin gibt keine Literaturzitate aus, die ausschliesslich auf Modellwissen beruhen und nicht durch eine prüfbare Quelle belegt werden können. Stattdessen erscheint ein Prüfvermerk:</w:t>
      </w:r>
    </w:p>
    <w:p>
      <w:pPr>
        <w:ind w:left="567"/>
      </w:pPr>
      <w:r>
        <w:rPr>
          <w:b/>
          <w:i/>
        </w:rPr>
        <w:t>[PRÜFVERMERK — LITERATUR-MODELLWISSEN-SPERRE]</w:t>
      </w:r>
      <w:r>
        <w:rPr>
          <w:i/>
        </w:rPr>
        <w:t xml:space="preserve"> Der Aufsatz/die Fundstelle konnte nicht verifiziert werden. Bitte Volltextzugang prüfen und Zitat manuell erganzen.</w:t>
      </w:r>
    </w:p>
    <w:p/>
    <w:p>
      <w:pPr>
        <w:pStyle w:val="Heading2"/>
      </w:pPr>
      <w:r>
        <w:rPr>
          <w:rFonts w:ascii="Times New Roman" w:hAnsi="Times New Roman"/>
        </w:rPr>
        <w:t>B. Zitierformate</w:t>
      </w:r>
    </w:p>
    <w:p>
      <w:pPr>
        <w:pStyle w:val="Heading3"/>
      </w:pPr>
      <w:r>
        <w:rPr>
          <w:rFonts w:ascii="Times New Roman" w:hAnsi="Times New Roman"/>
        </w:rPr>
        <w:t>B.1 Rechtsprechung — Langformat (Erstnennung)</w:t>
      </w:r>
    </w:p>
    <w:p>
      <w:pPr>
        <w:jc w:val="left"/>
      </w:pPr>
      <w:r>
        <w:t>```</w:t>
      </w:r>
    </w:p>
    <w:p>
      <w:pPr>
        <w:jc w:val="left"/>
      </w:pPr>
      <w:r>
        <w:t>BVerfG, Urt. v. 15.01.1958, Az. 1 BvR 400/51, BVerfGE 7, 198 (205) — Lueth.</w:t>
      </w:r>
    </w:p>
    <w:p>
      <w:pPr>
        <w:jc w:val="left"/>
      </w:pPr>
      <w:r>
        <w:t>BGH, Urt. v. 14.02.1958, Az. I ZR 151/56, BGHZ 26, 349 (350).</w:t>
      </w:r>
    </w:p>
    <w:p>
      <w:pPr>
        <w:jc w:val="left"/>
      </w:pPr>
      <w:r>
        <w:t>BAG, Urt. v. 20.03.2024, Az. 2 AZR 184/23, NZA 2024, 893 (895), abrufbar unter: https://www.openjur.de/u/XXXXXXX.html (abgerufen am TT.MM.JJJJ).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B.2 Rechtsprechung — Kurzformat (Wiederholung)</w:t>
      </w:r>
    </w:p>
    <w:p>
      <w:pPr>
        <w:jc w:val="left"/>
      </w:pPr>
      <w:r>
        <w:t>```</w:t>
      </w:r>
    </w:p>
    <w:p>
      <w:pPr>
        <w:jc w:val="left"/>
      </w:pPr>
      <w:r>
        <w:t>BVerfGE 7, 198 (205).</w:t>
      </w:r>
    </w:p>
    <w:p>
      <w:pPr>
        <w:jc w:val="left"/>
      </w:pPr>
      <w:r>
        <w:t>BGH NJW 2022, 1234 (1235).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B.3 Kommentare — Erstnennung ab 2022 (Gruenenberg)</w:t>
      </w:r>
    </w:p>
    <w:p>
      <w:pPr>
        <w:jc w:val="left"/>
      </w:pPr>
      <w:r>
        <w:t>```</w:t>
      </w:r>
    </w:p>
    <w:p>
      <w:pPr>
        <w:jc w:val="left"/>
      </w:pPr>
      <w:r>
        <w:t>Gruenenberg/Bearbeiter, BGB, 83. Aufl. 2024, § 242 Rn. 15.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B.4 Kommentare — Erstnennung bis 2021 (Palandt)</w:t>
      </w:r>
    </w:p>
    <w:p>
      <w:pPr>
        <w:jc w:val="left"/>
      </w:pPr>
      <w:r>
        <w:t>```</w:t>
      </w:r>
    </w:p>
    <w:p>
      <w:pPr>
        <w:jc w:val="left"/>
      </w:pPr>
      <w:r>
        <w:t>Palandt/Bearbeiter, BGB, 80. Aufl. 2021, § 242 Rn. 15.</w:t>
      </w:r>
    </w:p>
    <w:p>
      <w:pPr>
        <w:jc w:val="left"/>
      </w:pPr>
      <w:r>
        <w:t>```</w:t>
      </w:r>
    </w:p>
    <w:p>
      <w:pPr>
        <w:jc w:val="left"/>
      </w:pPr>
      <w:r>
        <w:t>Altzitate in Bestandsschriftsätzen sind als solche kenntlich zu machen (vgl. Abschnitt 16).</w:t>
      </w:r>
    </w:p>
    <w:p>
      <w:pPr>
        <w:pStyle w:val="Heading3"/>
      </w:pPr>
      <w:r>
        <w:rPr>
          <w:rFonts w:ascii="Times New Roman" w:hAnsi="Times New Roman"/>
        </w:rPr>
        <w:t>B.5 Aufsätze</w:t>
      </w:r>
    </w:p>
    <w:p>
      <w:pPr>
        <w:jc w:val="left"/>
      </w:pPr>
      <w:r>
        <w:t>```</w:t>
      </w:r>
    </w:p>
    <w:p>
      <w:pPr>
        <w:jc w:val="left"/>
      </w:pPr>
      <w:r>
        <w:t>Autor, Titel, Zeitschrift Jahrgang (Jahr), Seite (Zitierseite).</w:t>
      </w:r>
    </w:p>
    <w:p>
      <w:pPr>
        <w:jc w:val="left"/>
      </w:pPr>
      <w:r>
        <w:t>Beispiel: Tannenmoor, Neue Anforderungen an die anwaltliche Zitierweise, JZ 2024, 100 (103).</w:t>
      </w:r>
    </w:p>
    <w:p>
      <w:pPr>
        <w:jc w:val="left"/>
      </w:pPr>
      <w:r>
        <w:t>[PRUEFVERMERK — LITERATUR-MODELLWISSEN-SPERRE: Fundstelle nicht verifizierbar, da kein Direktzugriff auf JZ 2024 moeglich. Bitte manuell pruefen.]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B.6 Monographien</w:t>
      </w:r>
    </w:p>
    <w:p>
      <w:pPr>
        <w:jc w:val="left"/>
      </w:pPr>
      <w:r>
        <w:t>```</w:t>
      </w:r>
    </w:p>
    <w:p>
      <w:pPr>
        <w:jc w:val="left"/>
      </w:pPr>
      <w:r>
        <w:t>Autor, Titel, Aufl. Jahr, Seite.</w:t>
      </w:r>
    </w:p>
    <w:p>
      <w:pPr>
        <w:jc w:val="left"/>
      </w:pPr>
      <w:r>
        <w:t>Beispiel: Musielak/Voit, Zivilprozessordnung, 21. Aufl. 2024, § 286 Rn. 12.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B.7 Festschriften und Sammelbandaufsätze</w:t>
      </w:r>
    </w:p>
    <w:p>
      <w:pPr>
        <w:jc w:val="left"/>
      </w:pPr>
      <w:r>
        <w:t>```</w:t>
      </w:r>
    </w:p>
    <w:p>
      <w:pPr>
        <w:jc w:val="left"/>
      </w:pPr>
      <w:r>
        <w:t>Autor, Titel des Beitrags, in: Hrsg. (Hrsg.), Festschrift fuer XY, Jahr, Seite.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B.8 EU-Recht (ECLI)</w:t>
      </w:r>
    </w:p>
    <w:p>
      <w:pPr>
        <w:jc w:val="left"/>
      </w:pPr>
      <w:r>
        <w:t>```</w:t>
      </w:r>
    </w:p>
    <w:p>
      <w:pPr>
        <w:jc w:val="left"/>
      </w:pPr>
      <w:r>
        <w:t>EuGH, Urt. v. TT.MM.JJJJ, ECLI:EU:C:JJJJ:XXX, NJW JJJJ, Seite, abrufbar unter: https://eur-lex.europa.eu/... (abgerufen am TT.MM.JJJJ).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C. URL-Pflicht und Archivierung</w:t>
      </w:r>
    </w:p>
    <w:p>
      <w:pPr>
        <w:pStyle w:val="Heading3"/>
      </w:pPr>
      <w:r>
        <w:rPr>
          <w:rFonts w:ascii="Times New Roman" w:hAnsi="Times New Roman"/>
        </w:rPr>
        <w:t>C.1 Grundregel</w:t>
      </w:r>
    </w:p>
    <w:p>
      <w:pPr>
        <w:jc w:val="left"/>
      </w:pPr>
      <w:r>
        <w:t>Bei jeder Entscheidung, die über dejure.org oder openjur.de frei zugänglich ist, ist die URL anzugeben. Das Weglassen der URL gilt als Zitierfehler.</w:t>
      </w:r>
    </w:p>
    <w:p>
      <w:pPr>
        <w:jc w:val="left"/>
      </w:pPr>
      <w:r>
        <w:t xml:space="preserve">Format: </w:t>
      </w:r>
      <w:r>
        <w:t>abrufbar unter: [URL] (abgerufen am TT.MM.JJJJ).</w:t>
      </w:r>
    </w:p>
    <w:p>
      <w:pPr>
        <w:pStyle w:val="Heading3"/>
      </w:pPr>
      <w:r>
        <w:rPr>
          <w:rFonts w:ascii="Times New Roman" w:hAnsi="Times New Roman"/>
        </w:rPr>
        <w:t>C.2 Archivierungspflicht</w:t>
      </w:r>
    </w:p>
    <w:p>
      <w:pPr>
        <w:jc w:val="left"/>
      </w:pPr>
      <w:r>
        <w:t>Für URLs, die nicht auf staatliche oder dauerhaft stabile Server verweisen, ist ein Wayback-Machine-Archivlink zu ergänzen:</w:t>
      </w:r>
    </w:p>
    <w:p>
      <w:pPr>
        <w:jc w:val="left"/>
      </w:pPr>
      <w:r>
        <w:t>```</w:t>
      </w:r>
    </w:p>
    <w:p>
      <w:pPr>
        <w:jc w:val="left"/>
      </w:pPr>
      <w:r>
        <w:t>abrufbar unter: https://openjur.de/u/XXXXXXX.html (abgerufen am 15.09.2025; archiviert unter: https://web.archive.org/web/20250915XXXXXX/...).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C.3 Amtliche Server (bundesgerichtshof.de, bundesverfassungsgericht.de)</w:t>
      </w:r>
    </w:p>
    <w:p>
      <w:pPr>
        <w:jc w:val="left"/>
      </w:pPr>
      <w:r>
        <w:t>Verweise auf amtliche Servern gelten als stabil. Ein separater Archivlink ist nicht erforderlich, aber zulässig.</w:t>
      </w:r>
    </w:p>
    <w:p/>
    <w:p>
      <w:pPr>
        <w:pStyle w:val="Heading2"/>
      </w:pPr>
      <w:r>
        <w:rPr>
          <w:rFonts w:ascii="Times New Roman" w:hAnsi="Times New Roman"/>
        </w:rPr>
        <w:t>D. Besondere Regelungen</w:t>
      </w:r>
    </w:p>
    <w:p>
      <w:pPr>
        <w:pStyle w:val="Heading3"/>
      </w:pPr>
      <w:r>
        <w:rPr>
          <w:rFonts w:ascii="Times New Roman" w:hAnsi="Times New Roman"/>
        </w:rPr>
        <w:t>D.1 Palandt/Gruenenberg-Grenzjahr</w:t>
      </w:r>
    </w:p>
    <w:p>
      <w:pPr>
        <w:jc w:val="left"/>
      </w:pPr>
      <w:r>
        <w:t>Das Grenzjahr ist das Erscheinungsjahr der Auflage: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Kurztitel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80. Aufl.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81. Aufl.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82. Aufl.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83. Aufl.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Gruenenberg</w:t>
            </w:r>
          </w:p>
        </w:tc>
      </w:tr>
    </w:tbl>
    <w:p>
      <w:pPr>
        <w:jc w:val="left"/>
      </w:pPr>
      <w:r>
        <w:t>Verwechslungen (z.B. Palandt 2022 oder Gruenenberg 2021) sind Fehler der Kategorie A (schwerwiegend).</w:t>
      </w:r>
    </w:p>
    <w:p>
      <w:pPr>
        <w:pStyle w:val="Heading3"/>
      </w:pPr>
      <w:r>
        <w:rPr>
          <w:rFonts w:ascii="Times New Roman" w:hAnsi="Times New Roman"/>
        </w:rPr>
        <w:t>D.2 BVerfGE — Band, Seite, Randnummer</w:t>
      </w:r>
    </w:p>
    <w:p>
      <w:pPr>
        <w:jc w:val="left"/>
      </w:pPr>
      <w:r>
        <w:t>BVerfGE-Zitate enthalten nach Möglichkeit die Band-Seite-Angabe aus der amtlichen Sammlung. Randnummern sind zusätzlich anzugeben, wenn die Entscheidung auf bundesverfassungsgericht.de abrufbar ist.</w:t>
      </w:r>
    </w:p>
    <w:p>
      <w:pPr>
        <w:pStyle w:val="Heading3"/>
      </w:pPr>
      <w:r>
        <w:rPr>
          <w:rFonts w:ascii="Times New Roman" w:hAnsi="Times New Roman"/>
        </w:rPr>
        <w:t>D.3 Wiederholungszitate (a.a.O.)</w:t>
      </w:r>
    </w:p>
    <w:p>
      <w:pPr>
        <w:jc w:val="left"/>
      </w:pPr>
      <w:r>
        <w:t>Bei sofortiger Wiederholung innerhalb derselben Fussnote oder bei letzter Nennung auf derselben Seite: a.a.O. mit Seiten-/Randnummernangabe.</w:t>
      </w:r>
    </w:p>
    <w:p/>
    <w:p>
      <w:pPr>
        <w:pStyle w:val="Heading2"/>
      </w:pPr>
      <w:r>
        <w:rPr>
          <w:rFonts w:ascii="Times New Roman" w:hAnsi="Times New Roman"/>
        </w:rPr>
        <w:t>E. Gerichtsabkürzungen (Auswahl)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Bundesverfassungsgericht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Bundesgerichtshof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Bundesfinanzhof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BVerwG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Bundesverwaltungsgericht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Bundessozialgericht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Bundesarbeitsgericht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Oberlandesgericht (mit Ortsangabe)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Landgericht (mit Ortsangabe)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 (mit Ortsangabe)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EuGH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Gerichtshof der Europäischen Union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 der Europäischen Union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F. Prüfvermerk-Typen (Übersicht)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Kürzel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BeckRS-Sperre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BeckRS ohne verifizierten Lizenzzugang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Literatur-Modellwissen-Sperre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PV-LM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Aufsatz/Quelle nicht verifizierbar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Unvollständiges Zitat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PV-UV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Pflichtangabe fehlt (Datum, AZ, Fundstelle)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URL 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PV-URL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Freie Quelle ohne Pflicht-URL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Rangfolge-Fehler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 Reihenfolge bei Mehrfach-Fundstellen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Palandt/Gruenenberg-Verwechslung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PV-PG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Falscher Kurztitel für das Erscheinungsjahr</w:t>
            </w:r>
          </w:p>
        </w:tc>
      </w:tr>
    </w:tbl>
    <w:p>
      <w:pPr>
        <w:jc w:val="left"/>
      </w:pPr>
      <w:r>
        <w:t>Vollständige Prüfvermerk-Vorlage: siehe Aktenstück 11.</w:t>
      </w:r>
    </w:p>
    <w:p/>
    <w:p>
      <w:pPr>
        <w:jc w:val="left"/>
      </w:pPr>
      <w:r>
        <w:rPr>
          <w:i/>
        </w:rPr>
        <w:t>Erstellt: Oktober 2025 | Version: 4.0 | Kanzlei Roosendaal Birkenhainer Partners mbB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Hauszitierregeln 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HAUSZITIERREGELN 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