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Schulungskonzept Kanzleihandbuch Zitierweise v4.0</w:t>
      </w:r>
    </w:p>
    <w:p>
      <w:pPr>
        <w:jc w:val="left"/>
      </w:pPr>
      <w:r>
        <w:rPr>
          <w:b/>
        </w:rPr>
        <w:t>Kanzlei Roosendaal Birkenhainer Partners mbB</w:t>
      </w:r>
    </w:p>
    <w:p>
      <w:pPr>
        <w:jc w:val="left"/>
      </w:pPr>
      <w:r>
        <w:rPr>
          <w:b/>
        </w:rPr>
        <w:t>Schulungskonzept für alle 280 Berufsträger und Mitarbeitern</w:t>
      </w:r>
    </w:p>
    <w:p>
      <w:pPr>
        <w:jc w:val="left"/>
      </w:pPr>
      <w:r>
        <w:rPr>
          <w:b/>
        </w:rPr>
        <w:t>Schulungsverantwortlich: Dr. Sophia Pohlmann-Wittfeldt (HU Berlin)</w:t>
      </w:r>
    </w:p>
    <w:p>
      <w:pPr>
        <w:jc w:val="left"/>
      </w:pPr>
      <w:r>
        <w:rPr>
          <w:b/>
        </w:rPr>
        <w:t>Knowledge Manager: Moritz Lattermann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Schulungsziele</w:t>
      </w:r>
    </w:p>
    <w:p>
      <w:pPr>
        <w:jc w:val="left"/>
      </w:pPr>
      <w:r>
        <w:t>Nach der Schulung können Teilnehmende:</w:t>
      </w:r>
    </w:p>
    <w:p>
      <w:pPr>
        <w:pStyle w:val="ListNumber"/>
      </w:pPr>
      <w:r>
        <w:t>Die sechs Prüfvermerk-Typen (PV-BR, PV-LM, PV-UV, PV-URL, PV-RG, PV-PG) benennen und anwenden.</w:t>
      </w:r>
    </w:p>
    <w:p>
      <w:pPr>
        <w:pStyle w:val="ListNumber"/>
      </w:pPr>
      <w:r>
        <w:t>BeckRS-Fundstellen korrekt behandeln (Sperre erkennen, Alternative suchen).</w:t>
      </w:r>
    </w:p>
    <w:p>
      <w:pPr>
        <w:pStyle w:val="ListNumber"/>
      </w:pPr>
      <w:r>
        <w:t>Palandt/Gruenenberg-Grenzjahr sicher bestimmen.</w:t>
      </w:r>
    </w:p>
    <w:p>
      <w:pPr>
        <w:pStyle w:val="ListNumber"/>
      </w:pPr>
      <w:r>
        <w:t>URL-Pflicht bei freien Online-Quellen einhalten.</w:t>
      </w:r>
    </w:p>
    <w:p>
      <w:pPr>
        <w:pStyle w:val="ListNumber"/>
      </w:pPr>
      <w:r>
        <w:t>Rangfolge bei Mehrfach-Fundstellen korrekt anwenden.</w:t>
      </w:r>
    </w:p>
    <w:p>
      <w:pPr>
        <w:pStyle w:val="ListNumber"/>
      </w:pPr>
      <w:r>
        <w:t>Das Pruefkorpus-XLSX eigenständig pflegen.</w:t>
      </w:r>
    </w:p>
    <w:p/>
    <w:p>
      <w:pPr>
        <w:pStyle w:val="Heading2"/>
      </w:pPr>
      <w:r>
        <w:rPr>
          <w:rFonts w:ascii="Times New Roman" w:hAnsi="Times New Roman"/>
        </w:rPr>
        <w:t>B. Schulungsformate</w:t>
      </w:r>
    </w:p>
    <w:p>
      <w:pPr>
        <w:pStyle w:val="Heading3"/>
      </w:pPr>
      <w:r>
        <w:rPr>
          <w:rFonts w:ascii="Times New Roman" w:hAnsi="Times New Roman"/>
        </w:rPr>
        <w:t>B.1 Praesenzseminar (Pflicht — alle Standorte)</w:t>
      </w:r>
    </w:p>
    <w:p>
      <w:pPr>
        <w:jc w:val="left"/>
      </w:pPr>
      <w:r>
        <w:rPr>
          <w:b/>
        </w:rPr>
        <w:t>Datum:</w:t>
      </w:r>
      <w:r>
        <w:t xml:space="preserve"> 18.11.2025</w:t>
      </w:r>
    </w:p>
    <w:p>
      <w:pPr>
        <w:jc w:val="left"/>
      </w:pPr>
      <w:r>
        <w:rPr>
          <w:b/>
        </w:rPr>
        <w:t>Orte:</w:t>
      </w:r>
      <w:r>
        <w:t xml:space="preserve"> Berlin (Kanzlei Roosendaal, Hauptstadtbüro), Muenchen (Konferenzraum K3), Hamburg (per Videokonferenz)</w:t>
      </w:r>
    </w:p>
    <w:p>
      <w:pPr>
        <w:jc w:val="left"/>
      </w:pPr>
      <w:r>
        <w:rPr>
          <w:b/>
        </w:rPr>
        <w:t>Dauer:</w:t>
      </w:r>
      <w:r>
        <w:t xml:space="preserve"> 4 Stunden inkl. Übungen</w:t>
      </w:r>
    </w:p>
    <w:p>
      <w:pPr>
        <w:jc w:val="left"/>
      </w:pPr>
      <w:r>
        <w:rPr>
          <w:b/>
        </w:rPr>
        <w:t>Leitung:</w:t>
      </w:r>
      <w:r>
        <w:t xml:space="preserve"> Dr. Pohlmann-Wittfeldt (HU Berlin); Moderation: Lattermann</w:t>
      </w:r>
    </w:p>
    <w:p>
      <w:pPr>
        <w:jc w:val="left"/>
      </w:pPr>
      <w:r>
        <w:rPr>
          <w:b/>
        </w:rPr>
        <w:t>Gliederung:</w:t>
      </w:r>
    </w:p>
    <w:p>
      <w:pPr>
        <w:pStyle w:val="ListNumber"/>
      </w:pPr>
      <w:r>
        <w:t>Überblick Kanzleihandbuch v4.0 (30 Min.)</w:t>
      </w:r>
    </w:p>
    <w:p>
      <w:pPr>
        <w:pStyle w:val="ListNumber"/>
      </w:pPr>
      <w:r>
        <w:t>Prüfvermerk-Typen und Fallbeispiele (60 Min.)</w:t>
      </w:r>
    </w:p>
    <w:p>
      <w:pPr>
        <w:pStyle w:val="ListNumber"/>
      </w:pPr>
      <w:r>
        <w:t>Uebung: Echte Fehler im Pruefkorpus identifizieren (60 Min.)</w:t>
      </w:r>
    </w:p>
    <w:p>
      <w:pPr>
        <w:pStyle w:val="ListNumber"/>
      </w:pPr>
      <w:r>
        <w:t>BeckRS-Sperre und Alternativsuche live demonstrieren (30 Min.)</w:t>
      </w:r>
    </w:p>
    <w:p>
      <w:pPr>
        <w:pStyle w:val="ListNumber"/>
      </w:pPr>
      <w:r>
        <w:t>Palandt/Gruenenberg — 10 Testzitate bestimmen (20 Min.)</w:t>
      </w:r>
    </w:p>
    <w:p>
      <w:pPr>
        <w:pStyle w:val="ListNumber"/>
      </w:pPr>
      <w:r>
        <w:t>Fragen und Diskussion (20 Min.)</w:t>
      </w:r>
    </w:p>
    <w:p>
      <w:pPr>
        <w:pStyle w:val="Heading3"/>
      </w:pPr>
      <w:r>
        <w:rPr>
          <w:rFonts w:ascii="Times New Roman" w:hAnsi="Times New Roman"/>
        </w:rPr>
        <w:t>B.2 E-Learning-Modul (Ergänzend)</w:t>
      </w:r>
    </w:p>
    <w:p>
      <w:pPr>
        <w:jc w:val="left"/>
      </w:pPr>
      <w:r>
        <w:rPr>
          <w:b/>
        </w:rPr>
        <w:t>Bereitstellung:</w:t>
      </w:r>
      <w:r>
        <w:t xml:space="preserve"> Dezember 2025 über Kanzlei-Intranet</w:t>
      </w:r>
    </w:p>
    <w:p>
      <w:pPr>
        <w:jc w:val="left"/>
      </w:pPr>
      <w:r>
        <w:rPr>
          <w:b/>
        </w:rPr>
        <w:t>Dauer:</w:t>
      </w:r>
      <w:r>
        <w:t xml:space="preserve"> ca. 45 Minuten</w:t>
      </w:r>
    </w:p>
    <w:p>
      <w:pPr>
        <w:jc w:val="left"/>
      </w:pPr>
      <w:r>
        <w:rPr>
          <w:b/>
        </w:rPr>
        <w:t>Test:</w:t>
      </w:r>
      <w:r>
        <w:t xml:space="preserve"> 15 Fragen; Mindestpunktzahl 80 % für Zertifikat</w:t>
      </w:r>
    </w:p>
    <w:p>
      <w:pPr>
        <w:jc w:val="left"/>
      </w:pPr>
      <w:r>
        <w:rPr>
          <w:b/>
        </w:rPr>
        <w:t>Module:</w:t>
      </w:r>
    </w:p>
    <w:p>
      <w:pPr>
        <w:pStyle w:val="ListBullet"/>
      </w:pPr>
      <w:r>
        <w:t>Modul 1: Grundregeln Hauszitierweise v4.0</w:t>
      </w:r>
    </w:p>
    <w:p>
      <w:pPr>
        <w:pStyle w:val="ListBullet"/>
      </w:pPr>
      <w:r>
        <w:t>Modul 2: BeckRS-Sperre — Erkennen und Lösen</w:t>
      </w:r>
    </w:p>
    <w:p>
      <w:pPr>
        <w:pStyle w:val="ListBullet"/>
      </w:pPr>
      <w:r>
        <w:t>Modul 3: Palandt/Gruenenberg-Umstellung Quiz</w:t>
      </w:r>
    </w:p>
    <w:p>
      <w:pPr>
        <w:pStyle w:val="ListBullet"/>
      </w:pPr>
      <w:r>
        <w:t>Modul 4: URL-Pflicht und Archivierung</w:t>
      </w:r>
    </w:p>
    <w:p/>
    <w:p>
      <w:pPr>
        <w:pStyle w:val="Heading2"/>
      </w:pPr>
      <w:r>
        <w:rPr>
          <w:rFonts w:ascii="Times New Roman" w:hAnsi="Times New Roman"/>
        </w:rPr>
        <w:t>C. Fallbeispiele für die Schulung</w:t>
      </w:r>
    </w:p>
    <w:p>
      <w:pPr>
        <w:pStyle w:val="Heading3"/>
      </w:pPr>
      <w:r>
        <w:rPr>
          <w:rFonts w:ascii="Times New Roman" w:hAnsi="Times New Roman"/>
        </w:rPr>
        <w:t>Fallbeispiel 1 — BeckRS-Sperre</w:t>
      </w:r>
    </w:p>
    <w:p>
      <w:pPr>
        <w:jc w:val="left"/>
      </w:pPr>
      <w:r>
        <w:rPr>
          <w:b/>
        </w:rPr>
        <w:t>Aufgabe:</w:t>
      </w:r>
      <w:r>
        <w:t xml:space="preserve"> Mitarbeiterin T. hat folgenden Entwurf:</w:t>
      </w:r>
    </w:p>
    <w:p>
      <w:pPr>
        <w:ind w:left="567"/>
      </w:pPr>
      <w:r>
        <w:rPr>
          <w:i/>
        </w:rPr>
        <w:t>BGH, Urt. v. 21.04.2022, Az. IX ZR 234/21, BeckRS 2022, 12345.</w:t>
      </w:r>
    </w:p>
    <w:p>
      <w:pPr>
        <w:jc w:val="left"/>
      </w:pPr>
      <w:r>
        <w:t>Identifiziere den Fehler und korrigiere ihn.</w:t>
      </w:r>
    </w:p>
    <w:p>
      <w:pPr>
        <w:jc w:val="left"/>
      </w:pPr>
      <w:r>
        <w:rPr>
          <w:b/>
        </w:rPr>
        <w:t>Lösung:</w:t>
      </w:r>
      <w:r>
        <w:t xml:space="preserve"> PV-BR. Amtliche Alternative: BGHZ 233, 177. Korrigiertes Zitat mit amtlicher Sammlung und URL bundesgerichtshof.de.</w:t>
      </w:r>
    </w:p>
    <w:p/>
    <w:p>
      <w:pPr>
        <w:pStyle w:val="Heading3"/>
      </w:pPr>
      <w:r>
        <w:rPr>
          <w:rFonts w:ascii="Times New Roman" w:hAnsi="Times New Roman"/>
        </w:rPr>
        <w:t>Fallbeispiel 2 — Gruenenberg-Verwechslung</w:t>
      </w:r>
    </w:p>
    <w:p>
      <w:pPr>
        <w:jc w:val="left"/>
      </w:pPr>
      <w:r>
        <w:rPr>
          <w:b/>
        </w:rPr>
        <w:t>Aufgabe:</w:t>
      </w:r>
      <w:r>
        <w:t xml:space="preserve"> Schriftsatz aus Bestandsvorlage (2022):</w:t>
      </w:r>
    </w:p>
    <w:p>
      <w:pPr>
        <w:ind w:left="567"/>
      </w:pPr>
      <w:r>
        <w:rPr>
          <w:i/>
        </w:rPr>
        <w:t>Palandt/Grueneberg, BGB, 81. Aufl. 2022, § 242 Rn. 12.</w:t>
      </w:r>
    </w:p>
    <w:p>
      <w:pPr>
        <w:jc w:val="left"/>
      </w:pPr>
      <w:r>
        <w:t>Fehler benennen und korrigieren.</w:t>
      </w:r>
    </w:p>
    <w:p>
      <w:pPr>
        <w:jc w:val="left"/>
      </w:pPr>
      <w:r>
        <w:rPr>
          <w:b/>
        </w:rPr>
        <w:t>Lösung:</w:t>
      </w:r>
      <w:r>
        <w:t xml:space="preserve"> PV-PG. 81. Aufl. 2022 = Gruenenberg. Korrekt: Gruenenberg/Grueneberg, BGB, 81. Aufl. 2022, § 242 Rn. 14.</w:t>
      </w:r>
    </w:p>
    <w:p/>
    <w:p>
      <w:pPr>
        <w:pStyle w:val="Heading3"/>
      </w:pPr>
      <w:r>
        <w:rPr>
          <w:rFonts w:ascii="Times New Roman" w:hAnsi="Times New Roman"/>
        </w:rPr>
        <w:t>Fallbeispiel 3 — Modellwissen-Sperre</w:t>
      </w:r>
    </w:p>
    <w:p>
      <w:pPr>
        <w:jc w:val="left"/>
      </w:pPr>
      <w:r>
        <w:rPr>
          <w:b/>
        </w:rPr>
        <w:t>Aufgabe:</w:t>
      </w:r>
      <w:r>
        <w:t xml:space="preserve"> Plugin wird nach Aufsatz Tannenmoor JZ 2024 gefragt. Was gibt das Plugin aus?</w:t>
      </w:r>
    </w:p>
    <w:p>
      <w:pPr>
        <w:jc w:val="left"/>
      </w:pPr>
      <w:r>
        <w:rPr>
          <w:b/>
        </w:rPr>
        <w:t>Lösung:</w:t>
      </w:r>
      <w:r>
        <w:t xml:space="preserve"> PV-LM. Plugin gibt kein Zitat aus. Empfehlung: Volltextzugang prüfen.</w:t>
      </w:r>
    </w:p>
    <w:p/>
    <w:p>
      <w:pPr>
        <w:pStyle w:val="Heading3"/>
      </w:pPr>
      <w:r>
        <w:rPr>
          <w:rFonts w:ascii="Times New Roman" w:hAnsi="Times New Roman"/>
        </w:rPr>
        <w:t>Fallbeispiel 4 — URL fehlt</w:t>
      </w:r>
    </w:p>
    <w:p>
      <w:pPr>
        <w:jc w:val="left"/>
      </w:pPr>
      <w:r>
        <w:rPr>
          <w:b/>
        </w:rPr>
        <w:t>Aufgabe:</w:t>
      </w:r>
      <w:r>
        <w:t xml:space="preserve"> Zitat lautet: BGH, Urt. v. 17.06.2014, Az. VI ZR 281/13, NJW 2014, 2568. Korrekt?</w:t>
      </w:r>
    </w:p>
    <w:p>
      <w:pPr>
        <w:jc w:val="left"/>
      </w:pPr>
      <w:r>
        <w:rPr>
          <w:b/>
        </w:rPr>
        <w:t>Lösung:</w:t>
      </w:r>
      <w:r>
        <w:t xml:space="preserve"> PV-URL. dejure-URL fehlt. Korrekt: ... abrufbar unter: https://dejure.org/2014,17316 (abgerufen am TT.MM.JJJJ).</w:t>
      </w:r>
    </w:p>
    <w:p/>
    <w:p>
      <w:pPr>
        <w:pStyle w:val="Heading2"/>
      </w:pPr>
      <w:r>
        <w:rPr>
          <w:rFonts w:ascii="Times New Roman" w:hAnsi="Times New Roman"/>
        </w:rPr>
        <w:t>D. Zertifizierung</w:t>
      </w:r>
    </w:p>
    <w:p>
      <w:pPr>
        <w:jc w:val="left"/>
      </w:pPr>
      <w:r>
        <w:t>Alle Teilnehmenden erhalten nach Praesenzschulung und bestandenem E-Learning-Test ein internes Zertifikat "Zitierweise v4.0 zertifiziert". Das Zertifikat ist drei Jahre gültig und wird im Personalstamm vermerkt.</w:t>
      </w:r>
    </w:p>
    <w:p/>
    <w:p>
      <w:pPr>
        <w:jc w:val="left"/>
      </w:pPr>
      <w:r>
        <w:rPr>
          <w:i/>
        </w:rPr>
        <w:t>Schulungskonzept v4.0 | Kanzlei Roosendaal Birkenhainer Partners mbB | Oktober 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