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Checkliste: Veröffentlichung Kanzleihandbuch Zitierweise v4.0</w:t>
      </w:r>
    </w:p>
    <w:p>
      <w:pPr>
        <w:jc w:val="left"/>
      </w:pPr>
      <w:r>
        <w:rPr>
          <w:b/>
        </w:rPr>
        <w:t>Abschlussprüfung und Freigabe-Checkliste</w:t>
      </w:r>
    </w:p>
    <w:p>
      <w:pPr>
        <w:jc w:val="left"/>
      </w:pPr>
      <w:r>
        <w:rPr>
          <w:b/>
        </w:rPr>
        <w:t>Kanzlei Roosendaal Birkenhainer Partners mbB</w:t>
      </w:r>
    </w:p>
    <w:p>
      <w:pPr>
        <w:jc w:val="left"/>
      </w:pPr>
      <w:r>
        <w:rPr>
          <w:b/>
        </w:rPr>
        <w:t>Freigabe durch: Dr. Henrik Roosendaal (Senior Partner)</w:t>
      </w:r>
    </w:p>
    <w:p>
      <w:pPr>
        <w:jc w:val="left"/>
      </w:pPr>
      <w:r>
        <w:rPr>
          <w:b/>
        </w:rPr>
        <w:t>Angestrebt: Dezember 2025</w:t>
      </w:r>
    </w:p>
    <w:p/>
    <w:p>
      <w:pPr>
        <w:pStyle w:val="Heading2"/>
      </w:pPr>
      <w:r>
        <w:rPr>
          <w:rFonts w:ascii="Times New Roman" w:hAnsi="Times New Roman"/>
        </w:rPr>
        <w:t>A. Inhaltliche 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22 Markdown-Aktenstücke vorhanden und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Pruefkorpus 100 Fundstellen vollständig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Prüfvermerke dokumentiert (XLSX)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halluzinierten Zitate im Handbuch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BeckRS-Sperre-Regelung klar formuliert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Palandt/Gruenenberg-Grenzjahr korrekt dokumentiert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URL-Pflicht-Regelung in Abschnitt C korrekt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Rangfolge-Regelung pruefkorpus-konsistent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EU-Recht-Abschnitt (17) geprüft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Glossar vollständig (19)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Formale 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YAML-Frontmatter in MD-Dateien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BeckRS-Zitate allein (ohne Lizenz-Hinweis)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anwalt24.de- oder sonstigen unzulässigen Quellen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URLs HTTPS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Abrufdaten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ZWSP, RTL, Cyrillisch in Textdateien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Dateinamen korrekt (keine Sonderzeichen)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Verzeichnisstruktur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C. Technische Pruefung (Anhänge)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3 DOCX-Dateien erstellt und lesbar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2 XLSX-Dateien erstellt (max. 10 Spalten)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4 EML-Dateien erstellt und valide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2 PDF-Dateien erstellt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3 JPG-Dateien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README.md vollständig mit Plugin-Mention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Freigabe-Unterschriften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Freigabe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Erstellerin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Sophia Pohlmann-Wittfeldt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Vorlage zur Abnahme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Knowledge Manager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Moritz Lattermann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Pruefung abgeschlossen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Senior 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Henrik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Dezember 2025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Post-Veröffentlichung</w:t>
      </w:r>
    </w:p>
    <w:p>
      <w:pPr>
        <w:jc w:val="left"/>
      </w:pPr>
      <w:r>
        <w:t>Nach Veröffentlichung des Kanzleihandbuchs v4.0:</w:t>
      </w:r>
    </w:p>
    <w:p>
      <w:pPr>
        <w:pStyle w:val="ListNumber"/>
      </w:pPr>
      <w:r>
        <w:t>Intranet-Veröffentlichung (Lattermann)</w:t>
      </w:r>
    </w:p>
    <w:p>
      <w:pPr>
        <w:pStyle w:val="ListNumber"/>
      </w:pPr>
      <w:r>
        <w:t>E-Mail-Benachrichtigung alle Berufsträger (Lattermann)</w:t>
      </w:r>
    </w:p>
    <w:p>
      <w:pPr>
        <w:pStyle w:val="ListNumber"/>
      </w:pPr>
      <w:r>
        <w:t>Praesenzseminar 18.11.2025 (Pohlmann-Wittfeldt)</w:t>
      </w:r>
    </w:p>
    <w:p>
      <w:pPr>
        <w:pStyle w:val="ListNumber"/>
      </w:pPr>
      <w:r>
        <w:t>E-Learning-Bereitstellung Dezember 2025 (IT-Abteilung)</w:t>
      </w:r>
    </w:p>
    <w:p>
      <w:pPr>
        <w:pStyle w:val="ListNumber"/>
      </w:pPr>
      <w:r>
        <w:t>Versionierung: Nächste Review-Runde Q3 2026</w:t>
      </w:r>
    </w:p>
    <w:p/>
    <w:p>
      <w:pPr>
        <w:jc w:val="left"/>
      </w:pPr>
      <w:r>
        <w:rPr>
          <w:i/>
        </w:rPr>
        <w:t>Checkliste Veröffentlichung Kanzleihandbuch v4.0 | Kanzlei Roosendaal Birkenhainer Partners mbB | Oktober 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