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Sachverhalt: Bauvorhaben Riegerstraße 17 und Saalbau Rosenheim GmbH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 / Unternehmen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Anschrift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Klägerin / Mandantin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Margarete Pohlmann, geb. 17.03.1961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Riegerstraße 17, 83022 Rosenheim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Saalbau Rosenheim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Hammerstraße 4, 83022 Rosenheim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Beklagte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Kurt Saalbau-Eichenmüller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ebd.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Prozessbevollmächtigter Kl.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Mark Roosendaal (RA)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Ludwigstraße 12, 83022 Rosenheim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Prozessbevollmächtigter Bekl.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Bernhard Scholl-Mayer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Münchner Straße 88, 83022 Rosenheim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Dipl.-Ing. Friedrich Zeyer (Baurat a.D.)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 Kosttor 8, 80331 München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Berichterstatterin LG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VRiLG Dr. Anke Willms-Faber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Traunstein, Bürgerstraße 22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Chronologie des Bauvorhabens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12.03.2022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Werkvertragsschluss Pohlmann / Saalbau Rosenheim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Baubeginn; Erdarbeiten, erste Kontaminationsfunde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Ing. Büro Weidinger meldet PAK/MKW-Befund schriftlich an Beklagte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Beklagte setzt Arbeiten fort ohne Rücksprache Klägerin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Klägerin erhält erstmals Kenntnis vom Bodenbefund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01.09.2022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Bodenaustausch abgeschlossen; Mehrkosten EUR 112.000 fakturiert durch Beklagte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15.11.2022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Rohbau abgeschlossen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10.12.2023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Erster Wassereinbruch Dach Nordseite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Abnahme unter Vorbehalt (Protokoll 8 Seiten)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Erstes Mängelrügeschreiben Klägerin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Fristsetzung Nacherfüllung (4 Wochen)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Nacherfüllungsfrist ohne Reaktion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Erstgespräch Kanzlei Roosendaal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Mahnbescheidsantrag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Beklagte gegen Mahnbescheid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Klageschrift LG Traunstein 1 O 2188/25 (eingereicht)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Saalbau Rosenheim GmbH — Firmenprofil</w:t>
      </w:r>
    </w:p>
    <w:p>
      <w:pPr>
        <w:jc w:val="left"/>
      </w:pPr>
      <w:r>
        <w:t>Gegründet 1987; HRB 14322 AG Traunstein; Stammkapital 150.000 EUR; Gesellschafter: Kurt Saalbau-Eichenmüller (80%), Hildegard Saalbau-Eichenmüller (20%). Beklagte ist regionalbekannter Bauträger und Generalunternehmer im Landkreis Rosenheim. Umsatz laut Jahresabschluss 2023 ca. 8,4 Mio. EUR. Keine Insolvenzantragstellung bekannt.</w:t>
      </w:r>
    </w:p>
    <w:p/>
    <w:p>
      <w:pPr>
        <w:pStyle w:val="Heading2"/>
      </w:pPr>
      <w:r>
        <w:rPr>
          <w:rFonts w:ascii="Times New Roman" w:hAnsi="Times New Roman"/>
        </w:rPr>
        <w:t>Werkvertrag — Wesentliche Regelungen</w:t>
      </w:r>
    </w:p>
    <w:p>
      <w:pPr>
        <w:jc w:val="left"/>
      </w:pPr>
      <w:r>
        <w:t>Der Bauvertrag vom 12.03.2022 enthält folgende für das Verfahren relevante Klauseln:</w:t>
      </w:r>
    </w:p>
    <w:p>
      <w:pPr>
        <w:jc w:val="left"/>
      </w:pPr>
      <w:r>
        <w:rPr>
          <w:b/>
        </w:rPr>
        <w:t>§ 3 Leistungsumfang:</w:t>
      </w:r>
      <w:r>
        <w:t xml:space="preserve"> Schlüsselfertige Errichtung EFH nach Baugenehmigung (Az. 63-B-2022-0044 Landratsamt Rosenheim) inklusive Bodenplatte, Keller, EG, OG, Dachstuhl, Dacheindeckung, Fenster, Innenausbau, Außenanlagen, Garage.</w:t>
      </w:r>
    </w:p>
    <w:p>
      <w:pPr>
        <w:jc w:val="left"/>
      </w:pPr>
      <w:r>
        <w:rPr>
          <w:b/>
        </w:rPr>
        <w:t>§ 5 Vergütung:</w:t>
      </w:r>
      <w:r>
        <w:t xml:space="preserve"> Festpreis 645.000 EUR netto, zuzüglich MwSt. Nachträge bedürfen der Schriftform.</w:t>
      </w:r>
    </w:p>
    <w:p>
      <w:pPr>
        <w:jc w:val="left"/>
      </w:pPr>
      <w:r>
        <w:rPr>
          <w:b/>
        </w:rPr>
        <w:t>§ 6 Ausführungsfristen:</w:t>
      </w:r>
      <w:r>
        <w:t xml:space="preserve"> Baubeginn 15.04.2022; Fertigstellung und Abnahme bis 30.09.2023; Vertragsstrafe 0,3 % des Werklohns pro Kalendertag Verzug, höchstens 5 %.</w:t>
      </w:r>
    </w:p>
    <w:p>
      <w:pPr>
        <w:jc w:val="left"/>
      </w:pPr>
      <w:r>
        <w:rPr>
          <w:b/>
        </w:rPr>
        <w:t>§ 8 Mängelbeseitigung:</w:t>
      </w:r>
      <w:r>
        <w:t xml:space="preserve"> Beklagte schuldet Nacherfüllung binnen vier Wochen nach Rüge.</w:t>
      </w:r>
    </w:p>
    <w:p>
      <w:pPr>
        <w:jc w:val="left"/>
      </w:pPr>
      <w:r>
        <w:rPr>
          <w:b/>
        </w:rPr>
        <w:t>§ 9 Unvorhergesehenes:</w:t>
      </w:r>
      <w:r>
        <w:t xml:space="preserve"> Zusatzleistungen infolge unvorhergesehener Bodenverhältnisse gehen zu Lasten der Bauherrin — </w:t>
      </w:r>
      <w:r>
        <w:rPr>
          <w:b/>
        </w:rPr>
        <w:t>strittige Klausel</w:t>
      </w:r>
      <w:r>
        <w:t xml:space="preserve"> (AGB-Kontrolle § 305 ff. BGB).</w:t>
      </w:r>
    </w:p>
    <w:p/>
    <w:p>
      <w:pPr>
        <w:pStyle w:val="Heading2"/>
      </w:pPr>
      <w:r>
        <w:rPr>
          <w:rFonts w:ascii="Times New Roman" w:hAnsi="Times New Roman"/>
        </w:rPr>
        <w:t>Juristische Kernfragen</w:t>
      </w:r>
    </w:p>
    <w:p>
      <w:pPr>
        <w:pStyle w:val="ListNumber"/>
      </w:pPr>
      <w:r>
        <w:t>Ist § 9 des Werkvertrages (Zusatzleistungen bei unvorhergesehenen Bodenverhältnissen) als AGB wirksam oder wegen Verstoßes gegen § 307 BGB unwirksam?</w:t>
      </w:r>
    </w:p>
    <w:p>
      <w:pPr>
        <w:pStyle w:val="ListNumber"/>
      </w:pPr>
      <w:r>
        <w:t>Hat die Beklagte ihre Hinweis- und Untersuchungspflicht nach dem Bauvertrag (§ 631 BGB i.V.m. Treu und Glauben) verletzt, indem sie trotz Kenntnis des Kontaminationsverdachts keine Voruntersuchung veranlasste?</w:t>
      </w:r>
    </w:p>
    <w:p>
      <w:pPr>
        <w:pStyle w:val="ListNumber"/>
      </w:pPr>
      <w:r>
        <w:t>Sind die Mängel (Risse, Schallschutz, Dach, Wärmedämmung) als Sachmängel i.S.d. § 633 BGB zu qualifizieren?</w:t>
      </w:r>
    </w:p>
    <w:p>
      <w:pPr>
        <w:pStyle w:val="ListNumber"/>
      </w:pPr>
      <w:r>
        <w:t>Wie sind die Folgemängel (Schimmel, Parkett) prozessual geltend zu machen (§ 264 ZPO)?</w:t>
      </w:r>
    </w:p>
    <w:p>
      <w:pPr>
        <w:pStyle w:val="ListNumber"/>
      </w:pPr>
      <w:r>
        <w:t>Liegt ein Fall des § 543 ZPO vor (grundsätzliche Bedeutung der Revisionsfrage zur AGB-Klausel bei Bauverträgen)?</w:t>
      </w:r>
    </w:p>
    <w:p/>
    <w:p>
      <w:pPr>
        <w:pStyle w:val="Heading2"/>
      </w:pPr>
      <w:r>
        <w:rPr>
          <w:rFonts w:ascii="Times New Roman" w:hAnsi="Times New Roman"/>
        </w:rPr>
        <w:t>Quellen und Fundstellen</w:t>
      </w:r>
    </w:p>
    <w:p>
      <w:pPr>
        <w:pStyle w:val="ListBullet"/>
      </w:pPr>
      <w:r>
        <w:t>ZPO §§ 253, 264, 269, 402 ff., 543, 563, 767 — dejure.org</w:t>
      </w:r>
    </w:p>
    <w:p>
      <w:pPr>
        <w:pStyle w:val="ListBullet"/>
      </w:pPr>
      <w:r>
        <w:t>BGB §§ 631, 633, 634, 636 — dejure.org</w:t>
      </w:r>
    </w:p>
    <w:p>
      <w:pPr>
        <w:pStyle w:val="ListBullet"/>
      </w:pPr>
      <w:r>
        <w:t>BGH VII ZR 282/14 (Sachmangelbegriff im Werkvertragsrecht) — bundesgerichtshof.de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Bauvorhaben Riegerstraße 17 und Saalbau Rosenheim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Bauvorhaben Riegerstraße 17 und Saalbau Rosenheim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