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04 — Mahnbescheid (Vorläufiges Zahlungsmahnverfahren)</w:t>
      </w:r>
    </w:p>
    <w:p>
      <w:pPr>
        <w:pStyle w:val="Heading2"/>
      </w:pPr>
      <w:r>
        <w:rPr>
          <w:rFonts w:ascii="Times New Roman" w:hAnsi="Times New Roman"/>
        </w:rPr>
        <w:t>Mahnbescheidsantrag beim AG Coburg (Zentrales Mahngericht Bayern)</w:t>
      </w:r>
    </w:p>
    <w:p>
      <w:pPr>
        <w:jc w:val="left"/>
      </w:pPr>
      <w:r>
        <w:rPr>
          <w:b/>
        </w:rPr>
        <w:t>Antragstellerin:</w:t>
      </w:r>
      <w:r>
        <w:t xml:space="preserve"> Margarete Pohlmann, Riegerstraße 17, 83022 Rosenheim</w:t>
      </w:r>
    </w:p>
    <w:p>
      <w:pPr>
        <w:jc w:val="left"/>
      </w:pPr>
      <w:r>
        <w:rPr>
          <w:b/>
        </w:rPr>
        <w:t>Antragsgegnerin:</w:t>
      </w:r>
      <w:r>
        <w:t xml:space="preserve"> Saalbau Rosenheim GmbH, Hammerstraße 4, 83022 Rosenheim</w:t>
      </w:r>
    </w:p>
    <w:p>
      <w:pPr>
        <w:jc w:val="left"/>
      </w:pPr>
      <w:r>
        <w:rPr>
          <w:b/>
        </w:rPr>
        <w:t>Forderung (zusammengefasst):</w:t>
      </w:r>
      <w:r>
        <w:t xml:space="preserve"> 447.400 EUR (ohne Folgemängelansprüche, die zum Antragszeitpunkt noch nicht bezifferbar waren)</w:t>
      </w:r>
    </w:p>
    <w:p>
      <w:pPr>
        <w:jc w:val="left"/>
      </w:pPr>
      <w:r>
        <w:rPr>
          <w:b/>
        </w:rPr>
        <w:t>Eingereicht:</w:t>
      </w:r>
      <w:r>
        <w:t xml:space="preserve"> 15.01.2026</w:t>
      </w:r>
    </w:p>
    <w:p/>
    <w:p>
      <w:pPr>
        <w:pStyle w:val="Heading2"/>
      </w:pPr>
      <w:r>
        <w:rPr>
          <w:rFonts w:ascii="Times New Roman" w:hAnsi="Times New Roman"/>
        </w:rPr>
        <w:t>Rechtliche Grundlage</w:t>
      </w:r>
    </w:p>
    <w:p>
      <w:pPr>
        <w:jc w:val="left"/>
      </w:pPr>
      <w:r>
        <w:t>Das Mahnverfahren nach §§ 688 ff. ZPO wurde als Fristwahrungsmaßnahme und zur Hemmung der Verjährung (§ 204 Abs. 1 Nr. 3 BGB) gewählt. Es ist nach § 688 Abs. 1 ZPO zulässig für Geldleistungen, die keiner Gegenleistung unterliegen; da die Mängel bereits gerügt und Frist zur Nacherfüllung abgelaufen war, stand Geldleistung (Minderung, Schadensersatz) im Vordergrund.</w:t>
      </w:r>
    </w:p>
    <w:p>
      <w:pPr>
        <w:jc w:val="left"/>
      </w:pPr>
      <w:r>
        <w:t>Der Antrag wurde beim zentralen Mahngericht Bayern beim AG Coburg (§ 689 Abs. 1 ZPO i.V.m. bayerischer Zuständigkeitsverordnung) gestellt.</w:t>
      </w:r>
    </w:p>
    <w:p/>
    <w:p>
      <w:pPr>
        <w:pStyle w:val="Heading2"/>
      </w:pPr>
      <w:r>
        <w:rPr>
          <w:rFonts w:ascii="Times New Roman" w:hAnsi="Times New Roman"/>
        </w:rPr>
        <w:t>Inhalt des Mahnbescheids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Forderungsposition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Betrag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Minderungsanspruch § 638 BGB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210.000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Schadensersatz Bodenaustausch § 636, § 280 BGB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112.000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Mangelbeseitigungskosten (Voranschlag)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87.000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Verzögerungsschaden (Miete Übergangswohnung 6 Monate x 2.400 EUR)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38.400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Zwischensumme Hauptforderung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447.400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Zinsen 5 Prozentpunkte über Basiszinssatz ab 25.06.2024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laufend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Verfahrenskosten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828 EUR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Verfahrensablauf Mahnverfahren</w:t>
      </w:r>
    </w:p>
    <w:p>
      <w:pPr>
        <w:jc w:val="left"/>
      </w:pPr>
      <w:r>
        <w:rPr>
          <w:b/>
        </w:rPr>
        <w:t>15.01.2026:</w:t>
      </w:r>
      <w:r>
        <w:t xml:space="preserve"> Antrag beim AG Coburg</w:t>
      </w:r>
    </w:p>
    <w:p>
      <w:pPr>
        <w:jc w:val="left"/>
      </w:pPr>
      <w:r>
        <w:rPr>
          <w:b/>
        </w:rPr>
        <w:t>20.01.2026:</w:t>
      </w:r>
      <w:r>
        <w:t xml:space="preserve"> Zustellung Mahnbescheid an Beklagte (AG-Protokoll)</w:t>
      </w:r>
    </w:p>
    <w:p>
      <w:pPr>
        <w:jc w:val="left"/>
      </w:pPr>
      <w:r>
        <w:rPr>
          <w:b/>
        </w:rPr>
        <w:t>10.02.2026:</w:t>
      </w:r>
      <w:r>
        <w:t xml:space="preserve"> Widerspruch Beklagte innerhalb Zweiwochenfrist (§ 694 Abs. 1 ZPO) durch RA Scholl-Mayer — formwirksam</w:t>
      </w:r>
    </w:p>
    <w:p>
      <w:pPr>
        <w:jc w:val="left"/>
      </w:pPr>
      <w:r>
        <w:t>Mit Eingang des Widerspruchs wird das Verfahren nach § 696 Abs. 1 ZPO auf Antrag der Antragstellerin an das streitige Gericht — LG Traunstein — abgegeben. Antrag auf Abgabe: 18.02.2026.</w:t>
      </w:r>
    </w:p>
    <w:p>
      <w:pPr>
        <w:jc w:val="left"/>
      </w:pPr>
      <w:r>
        <w:rPr>
          <w:b/>
        </w:rPr>
        <w:t>Übergang ins streitige Verfahren:</w:t>
      </w:r>
      <w:r>
        <w:t xml:space="preserve"> LG Traunstein, Az. 1 O 2188/25 (Az. bereits bei Einreichung des Mahnbescheids vorläufig vergeben).</w:t>
      </w:r>
    </w:p>
    <w:p/>
    <w:p>
      <w:pPr>
        <w:pStyle w:val="Heading2"/>
      </w:pPr>
      <w:r>
        <w:rPr>
          <w:rFonts w:ascii="Times New Roman" w:hAnsi="Times New Roman"/>
        </w:rPr>
        <w:t>Anmerkungen zur Verfahrenstaktik</w:t>
      </w:r>
    </w:p>
    <w:p>
      <w:pPr>
        <w:jc w:val="left"/>
      </w:pPr>
      <w:r>
        <w:t>Das Mahnverfahren hat die Funktion der Prozessvorbereitung und Hemmung der Verjährung erfüllt. Mit dem Widerspruch der Beklagten war zu rechnen; die Mandantin wurde entsprechend vorbereitet.</w:t>
      </w:r>
    </w:p>
    <w:p>
      <w:pPr>
        <w:jc w:val="left"/>
      </w:pPr>
      <w:r>
        <w:t>Wichtig: Der Mahnbescheid deckt nur die zum Antragszeitpunkt bezifferbaren Ansprüche ab. Die Folgemängelansprüche (Schimmel, Parkett, Folgeschäden) werden im streitigen Verfahren durch Klageerweiterung nach § 264 ZPO eingeführt.</w:t>
      </w:r>
    </w:p>
    <w:p/>
    <w:p>
      <w:pPr>
        <w:pStyle w:val="Heading2"/>
      </w:pPr>
      <w:r>
        <w:rPr>
          <w:rFonts w:ascii="Times New Roman" w:hAnsi="Times New Roman"/>
        </w:rPr>
        <w:t>Kosten Mahnverfahren</w:t>
      </w:r>
    </w:p>
    <w:p>
      <w:pPr>
        <w:jc w:val="left"/>
      </w:pPr>
      <w:r>
        <w:t>Gerichtsgebühr: 828 EUR (Streitwert 447.400 EUR, 0,5-fache Gebühr Nr. 1100 GKG-KV).</w:t>
      </w:r>
    </w:p>
    <w:p>
      <w:pPr>
        <w:jc w:val="left"/>
      </w:pPr>
      <w:r>
        <w:t>Anwaltsgebühr: Verfahrensgebühr nach Nr. 3305 VV-RVG (Mahnverfahren): 1,0-fache Gebühr aus Streitwert 447.400 EUR = 3.108,40 EUR zzgl. MwSt. (auf die in der Hauptsache entstehenden Gebühren angerechnet, § 4 Abs. 2 RVG i.V.m. Anm. Nr. 3305 VV-RVG).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Mahnbescheidsantrag beim AG Coburg (Zentrales Mahngericht Bayern)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Mahnbescheidsantrag beim AG Coburg (Zentrales Mahngericht Bayern)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Gericht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