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06 — Klageerwiderung (Replik) der Saalbau Rosenheim GmbH</w:t>
      </w:r>
    </w:p>
    <w:p>
      <w:pPr>
        <w:pStyle w:val="Heading2"/>
      </w:pPr>
      <w:r>
        <w:rPr>
          <w:rFonts w:ascii="Times New Roman" w:hAnsi="Times New Roman"/>
        </w:rPr>
        <w:t>Verfahrensstand</w:t>
      </w:r>
    </w:p>
    <w:p>
      <w:pPr>
        <w:jc w:val="left"/>
      </w:pPr>
      <w:r>
        <w:rPr>
          <w:b/>
        </w:rPr>
        <w:t>Az.:</w:t>
      </w:r>
      <w:r>
        <w:t xml:space="preserve"> LG Traunstein 1 O 2188/25</w:t>
      </w:r>
    </w:p>
    <w:p>
      <w:pPr>
        <w:jc w:val="left"/>
      </w:pPr>
      <w:r>
        <w:rPr>
          <w:b/>
        </w:rPr>
        <w:t>Eingegangen:</w:t>
      </w:r>
      <w:r>
        <w:t xml:space="preserve"> 28.04.2026</w:t>
      </w:r>
    </w:p>
    <w:p>
      <w:pPr>
        <w:jc w:val="left"/>
      </w:pPr>
      <w:r>
        <w:rPr>
          <w:b/>
        </w:rPr>
        <w:t>Verfasser:</w:t>
      </w:r>
      <w:r>
        <w:t xml:space="preserve"> RA Bernhard Scholl-Mayer, Münchner Straße 88, 83022 Rosenheim</w:t>
      </w:r>
    </w:p>
    <w:p/>
    <w:p>
      <w:pPr>
        <w:pStyle w:val="Heading2"/>
      </w:pPr>
      <w:r>
        <w:rPr>
          <w:rFonts w:ascii="Times New Roman" w:hAnsi="Times New Roman"/>
        </w:rPr>
        <w:t>Anträge der Beklagten</w:t>
      </w:r>
    </w:p>
    <w:p>
      <w:pPr>
        <w:jc w:val="left"/>
      </w:pPr>
      <w:r>
        <w:t>Die Beklagte beantragt:</w:t>
      </w:r>
    </w:p>
    <w:p>
      <w:pPr>
        <w:jc w:val="left"/>
      </w:pPr>
      <w:r>
        <w:rPr>
          <w:b/>
        </w:rPr>
        <w:t>1.</w:t>
      </w:r>
      <w:r>
        <w:t xml:space="preserve"> Die Klage wird abgewiesen.</w:t>
      </w:r>
    </w:p>
    <w:p>
      <w:pPr>
        <w:jc w:val="left"/>
      </w:pPr>
      <w:r>
        <w:rPr>
          <w:b/>
        </w:rPr>
        <w:t>2.</w:t>
      </w:r>
      <w:r>
        <w:t xml:space="preserve"> Die Klägerin trägt die Kosten des Rechtsstreits.</w:t>
      </w:r>
    </w:p>
    <w:p>
      <w:pPr>
        <w:jc w:val="left"/>
      </w:pPr>
      <w:r>
        <w:rPr>
          <w:b/>
        </w:rPr>
        <w:t>3.</w:t>
      </w:r>
      <w:r>
        <w:t xml:space="preserve"> Das Urteil ist vorläufig vollstreckbar; der Klägerin wird nachgelassen, die Vollstreckung durch Sicherheitsleistung in Höhe von 110 % des beizutreibenden Betrages abzuwenden.</w:t>
      </w:r>
    </w:p>
    <w:p/>
    <w:p>
      <w:pPr>
        <w:pStyle w:val="Heading2"/>
      </w:pPr>
      <w:r>
        <w:rPr>
          <w:rFonts w:ascii="Times New Roman" w:hAnsi="Times New Roman"/>
        </w:rPr>
        <w:t>Sachvortrag der Beklagten</w:t>
      </w:r>
    </w:p>
    <w:p>
      <w:pPr>
        <w:pStyle w:val="Heading3"/>
      </w:pPr>
      <w:r>
        <w:rPr>
          <w:rFonts w:ascii="Times New Roman" w:hAnsi="Times New Roman"/>
        </w:rPr>
        <w:t>I. Zur Bodenkontamination</w:t>
      </w:r>
    </w:p>
    <w:p>
      <w:pPr>
        <w:jc w:val="left"/>
      </w:pPr>
      <w:r>
        <w:t>Die Beklagte bestreitet, dass eine Hinweispflicht hinsichtlich der Bodenkontamination verletzt wurde. Die Zuständigkeit für die Baugrunduntersuchung oblag gemäß § 9 des Bauvertrages der Klägerin als Bauherrin. Die Klausel § 9 ist eine branchenübliche Regelung, die die werkvertragliche Risikoverteilung bei Sonderleistungen widerspiegelt. Sie ist nicht nach § 307 BGB unwirksam, da sie keine unangemessene Benachteiligung darstellt; vielmehr entspricht sie der VOB/B-Systematik (§ 7 VOB/B).</w:t>
      </w:r>
    </w:p>
    <w:p>
      <w:pPr>
        <w:jc w:val="left"/>
      </w:pPr>
      <w:r>
        <w:t>Das Schreiben des Ing. Büros Weidinger vom 22.04.2022 wurde der Beklagten zwar zugeleitet, die Klägerin jedoch wurde am selben Tag per Telefon von Herrn Weidinger persönlich informiert (Zeuge: Dipl.-Ing. Rudolf Weidinger, Rosenheim). Eine schuldhaft verzögerte Mitteilung der Beklagten ist nicht nachweisbar.</w:t>
      </w:r>
    </w:p>
    <w:p>
      <w:pPr>
        <w:pStyle w:val="Heading3"/>
      </w:pPr>
      <w:r>
        <w:rPr>
          <w:rFonts w:ascii="Times New Roman" w:hAnsi="Times New Roman"/>
        </w:rPr>
        <w:t>II. Zu den behaupteten Mängeln</w:t>
      </w:r>
    </w:p>
    <w:p>
      <w:pPr>
        <w:jc w:val="left"/>
      </w:pPr>
      <w:r>
        <w:rPr>
          <w:b/>
        </w:rPr>
        <w:t>Kellerrisse:</w:t>
      </w:r>
      <w:r>
        <w:t xml:space="preserve"> Die Risse wurden im Abnahmeprotokoll vermerkt, sind jedoch nach Einschätzung der Beklagten als „optische Beeinträchtigungen" ohne konstruktive Relevanz einzustufen. Der Beton entspricht der vereinbarten Güte C25/30.</w:t>
      </w:r>
    </w:p>
    <w:p>
      <w:pPr>
        <w:jc w:val="left"/>
      </w:pPr>
      <w:r>
        <w:rPr>
          <w:b/>
        </w:rPr>
        <w:t>Schallschutz:</w:t>
      </w:r>
      <w:r>
        <w:t xml:space="preserve"> Im Bauvertrag ist kein erhöhter Schallschutz vereinbart. Die DIN 4109-1 enthält Mindestwerte für den Schallschutz im Wohnungsbau; EFH/Garage-Trennwände sind nach DIN 4109-1:2016 nur mit Luftschalldämmung Rw 27 dB zu versehen. Die Klägerin verwechselt die Tabellenwerte für Mehrfamilienhäuser mit den Anforderungen für Einfamilienhäuser.</w:t>
      </w:r>
    </w:p>
    <w:p>
      <w:pPr>
        <w:jc w:val="left"/>
      </w:pPr>
      <w:r>
        <w:rPr>
          <w:b/>
        </w:rPr>
        <w:t>Dachentwässerung:</w:t>
      </w:r>
      <w:r>
        <w:t xml:space="preserve"> Der Wassereinbruch im Dezember 2023 beruhte auf einem außergewöhnlichen Starkregenereignis (Niederschlag 87 mm/24h, meteorologisch belegt), das als höhere Gewalt einzustufen ist. Die Entwässerungsanlage entspricht DIN EN 12056-3.</w:t>
      </w:r>
    </w:p>
    <w:p>
      <w:pPr>
        <w:jc w:val="left"/>
      </w:pPr>
      <w:r>
        <w:rPr>
          <w:b/>
        </w:rPr>
        <w:t>Wärmedämmung:</w:t>
      </w:r>
      <w:r>
        <w:t xml:space="preserve"> Der gemessene U-Wert von 0,47 W/m²K liegt innerhalb der nach GEG 2020 für Bestandsgebäude maßgeblichen Grenzwerte. Das Gebäude erfüllt den GEG-Energieeffizienzstandard.</w:t>
      </w:r>
    </w:p>
    <w:p>
      <w:pPr>
        <w:pStyle w:val="Heading3"/>
      </w:pPr>
      <w:r>
        <w:rPr>
          <w:rFonts w:ascii="Times New Roman" w:hAnsi="Times New Roman"/>
        </w:rPr>
        <w:t>III. Zur Minderungsberechnung</w:t>
      </w:r>
    </w:p>
    <w:p>
      <w:pPr>
        <w:jc w:val="left"/>
      </w:pPr>
      <w:r>
        <w:t>Die relative Minderungsberechnungsmethode ist zwar anerkannt, die von der Klägerin angesetzten Wertansätze (Mangelabschlag 15,8 %) sind jedoch ohne sachverständige Grundlage willkürlich gegriffen. Die Beklagte beantragt, einen gerichtlichen Sachverständigen zu bestellen.</w:t>
      </w:r>
    </w:p>
    <w:p>
      <w:pPr>
        <w:pStyle w:val="Heading3"/>
      </w:pPr>
      <w:r>
        <w:rPr>
          <w:rFonts w:ascii="Times New Roman" w:hAnsi="Times New Roman"/>
        </w:rPr>
        <w:t>IV. Klagerücknahme-Hinweis (§ 269 ZPO)</w:t>
      </w:r>
    </w:p>
    <w:p>
      <w:pPr>
        <w:jc w:val="left"/>
      </w:pPr>
      <w:r>
        <w:t>Die Beklagte weist darauf hin, dass die Klageforderung in weiten Teilen unschlüssig ist. Sie regt an, dass die Klägerin die Möglichkeit der Klagerücknahme nach § 269 ZPO erwägt, um unnötige Kosten zu vermeiden. Diese Anregung erfolgt ohne Präjudiz.</w:t>
      </w:r>
    </w:p>
    <w:p/>
    <w:p>
      <w:pPr>
        <w:pStyle w:val="Heading2"/>
      </w:pPr>
      <w:r>
        <w:rPr>
          <w:rFonts w:ascii="Times New Roman" w:hAnsi="Times New Roman"/>
        </w:rPr>
        <w:t>Beweisangebote der Beklagten</w:t>
      </w:r>
    </w:p>
    <w:p>
      <w:pPr>
        <w:pStyle w:val="ListBullet"/>
      </w:pPr>
      <w:r>
        <w:t>Zeugnis: Dipl.-Ing. Rudolf Weidinger (Telefonat April 2022)</w:t>
      </w:r>
    </w:p>
    <w:p>
      <w:pPr>
        <w:pStyle w:val="ListBullet"/>
      </w:pPr>
      <w:r>
        <w:t>Zeugnis: Kurt Saalbau-Eichenmüller (GF Beklagte)</w:t>
      </w:r>
    </w:p>
    <w:p>
      <w:pPr>
        <w:pStyle w:val="ListBullet"/>
      </w:pPr>
      <w:r>
        <w:t>Sachverständigengutachten: gerichtlicher Sachverständiger zu Mängeln und Minderung</w:t>
      </w:r>
    </w:p>
    <w:p>
      <w:pPr>
        <w:pStyle w:val="ListBullet"/>
      </w:pPr>
      <w:r>
        <w:t>Urkunden: Werkvertrag, DIN-Normen, meteorologisches Gutachten Dezember 2023</w:t>
      </w:r>
    </w:p>
    <w:p/>
    <w:p>
      <w:pPr>
        <w:pStyle w:val="Heading2"/>
      </w:pPr>
      <w:r>
        <w:rPr>
          <w:rFonts w:ascii="Times New Roman" w:hAnsi="Times New Roman"/>
        </w:rPr>
        <w:t>Anmerkung Kanzlei Roosendaal</w:t>
      </w:r>
    </w:p>
    <w:p>
      <w:pPr>
        <w:jc w:val="left"/>
      </w:pPr>
      <w:r>
        <w:t>Die Argumentation der Beklagten zur Schallschutznorm ist angreifbar: DIN 4109-1:2016-07, Tabelle 8, Zeile 6 sieht für Trennwände zwischen Wohnhaus und angebautem Garagengeschoss einen Luftschalldämmwert Rw ≥ 40 dB vor. Die Beklagte zitiert den falschen Tabellenwert. Dies ist im Replikschriftsatz zu rügen.</w:t>
      </w:r>
    </w:p>
    <w:p>
      <w:pPr>
        <w:jc w:val="left"/>
      </w:pPr>
      <w:r>
        <w:t>Zur AGB-Klausel § 9: BGH VII ZR 282/14 bestätigt, dass Hinweispflichten des Auftragnehmers bei erkennbaren Bodenproblemen durch AGB-Klauseln nicht abbedungen werden können. Die Argumentation der Beklagten ist insoweit voraussichtlich nicht tragfähig.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Saalbau Rosenheim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Saalbau Rosenheim GmbH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Unternehmen · Az.: LG Traunstein 1 O 2188/25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