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Sachverständigengutachten Dipl.-Ing. Friedrich Zeyer</w:t>
      </w:r>
    </w:p>
    <w:p>
      <w:pPr>
        <w:pStyle w:val="Heading2"/>
      </w:pPr>
      <w:r>
        <w:rPr>
          <w:rFonts w:ascii="Times New Roman" w:hAnsi="Times New Roman"/>
        </w:rPr>
        <w:t>Gutachtendeckblatt</w:t>
      </w:r>
    </w:p>
    <w:p>
      <w:pPr>
        <w:jc w:val="left"/>
      </w:pPr>
      <w:r>
        <w:rPr>
          <w:b/>
        </w:rPr>
        <w:t>Erstellt für:</w:t>
      </w:r>
      <w:r>
        <w:t xml:space="preserve"> Landgericht Traunstein, 1. Zivilkammer</w:t>
      </w:r>
    </w:p>
    <w:p>
      <w:pPr>
        <w:jc w:val="left"/>
      </w:pPr>
      <w:r>
        <w:rPr>
          <w:b/>
        </w:rPr>
        <w:t>Az.:</w:t>
      </w:r>
      <w:r>
        <w:t xml:space="preserve"> 1 O 2188/25</w:t>
      </w:r>
    </w:p>
    <w:p>
      <w:pPr>
        <w:jc w:val="left"/>
      </w:pPr>
      <w:r>
        <w:rPr>
          <w:b/>
        </w:rPr>
        <w:t>Gutachter:</w:t>
      </w:r>
      <w:r>
        <w:t xml:space="preserve"> Dipl.-Ing. Friedrich Zeyer, Baurat a.D., Am Kosttor 8, 80331 München</w:t>
      </w:r>
    </w:p>
    <w:p>
      <w:pPr>
        <w:jc w:val="left"/>
      </w:pPr>
      <w:r>
        <w:rPr>
          <w:b/>
        </w:rPr>
        <w:t>Gutachtenauftrag:</w:t>
      </w:r>
      <w:r>
        <w:t xml:space="preserve"> Beweisbeschluss vom 10.08.2026</w:t>
      </w:r>
    </w:p>
    <w:p>
      <w:pPr>
        <w:jc w:val="left"/>
      </w:pPr>
      <w:r>
        <w:rPr>
          <w:b/>
        </w:rPr>
        <w:t>Ortstermin:</w:t>
      </w:r>
      <w:r>
        <w:t xml:space="preserve"> 05.–06.11.2026 (Riegerstraße 17, Rosenheim)</w:t>
      </w:r>
    </w:p>
    <w:p>
      <w:pPr>
        <w:jc w:val="left"/>
      </w:pPr>
      <w:r>
        <w:rPr>
          <w:b/>
        </w:rPr>
        <w:t>Gutachtenerstattung:</w:t>
      </w:r>
      <w:r>
        <w:t xml:space="preserve"> 12.01.2027</w:t>
      </w:r>
    </w:p>
    <w:p>
      <w:pPr>
        <w:jc w:val="left"/>
      </w:pPr>
      <w:r>
        <w:rPr>
          <w:b/>
        </w:rPr>
        <w:t>Vergütung:</w:t>
      </w:r>
      <w:r>
        <w:t xml:space="preserve"> 7.840 EUR (Vorschuss verbraucht; Restbetrag 0 EUR)</w:t>
      </w:r>
    </w:p>
    <w:p/>
    <w:p>
      <w:pPr>
        <w:pStyle w:val="Heading2"/>
      </w:pPr>
      <w:r>
        <w:rPr>
          <w:rFonts w:ascii="Times New Roman" w:hAnsi="Times New Roman"/>
        </w:rPr>
        <w:t>Zusammenfassung der Befunde</w:t>
      </w:r>
    </w:p>
    <w:p>
      <w:pPr>
        <w:pStyle w:val="Heading3"/>
      </w:pPr>
      <w:r>
        <w:rPr>
          <w:rFonts w:ascii="Times New Roman" w:hAnsi="Times New Roman"/>
        </w:rPr>
        <w:t>Mangel 1 — Kellerrisse</w:t>
      </w:r>
    </w:p>
    <w:p>
      <w:pPr>
        <w:jc w:val="left"/>
      </w:pPr>
      <w:r>
        <w:rPr>
          <w:b/>
        </w:rPr>
        <w:t>Befund:</w:t>
      </w:r>
      <w:r>
        <w:t xml:space="preserve"> Zwei Querrisse im Außenmauerwerk Kellergeschoss (Westseite, Achse B2 und C4), Breite 0,8 mm und 1,2 mm, Tiefe bis zur Innenseite. Beton-Bohrkernanalyse (Labor Müller GmbH, München): w/z-Wert 0,66 statt vertraglich max. 0,55; Druckfestigkeitsklasse nur C20/25 statt C25/30.</w:t>
      </w:r>
    </w:p>
    <w:p>
      <w:pPr>
        <w:jc w:val="left"/>
      </w:pPr>
      <w:r>
        <w:rPr>
          <w:b/>
        </w:rPr>
        <w:t>Wertung:</w:t>
      </w:r>
      <w:r>
        <w:t xml:space="preserve"> Mangel nach § 633 BGB (Abweichung von vereinbarter Beschaffenheit und anerkannten Regeln der Technik). Konstruktive Relevanz: mittelhoch; Wassereintrittsgefahr vorhanden.</w:t>
      </w:r>
    </w:p>
    <w:p>
      <w:pPr>
        <w:jc w:val="left"/>
      </w:pPr>
      <w:r>
        <w:rPr>
          <w:b/>
        </w:rPr>
        <w:t>Mangelbeseitigungskosten:</w:t>
      </w:r>
      <w:r>
        <w:t xml:space="preserve"> 31.400 EUR (Injektionsverfahren, Epoxidharz, Abdichtungsarbeiten, inkl. Begleitarbeiten).</w:t>
      </w:r>
    </w:p>
    <w:p>
      <w:pPr>
        <w:pStyle w:val="Heading3"/>
      </w:pPr>
      <w:r>
        <w:rPr>
          <w:rFonts w:ascii="Times New Roman" w:hAnsi="Times New Roman"/>
        </w:rPr>
        <w:t>Mangel 2 — Schallschutz Trennwand Garage/Wohnhaus</w:t>
      </w:r>
    </w:p>
    <w:p>
      <w:pPr>
        <w:jc w:val="left"/>
      </w:pPr>
      <w:r>
        <w:rPr>
          <w:b/>
        </w:rPr>
        <w:t>Befund:</w:t>
      </w:r>
      <w:r>
        <w:t xml:space="preserve"> Messung vor Ort ergibt Luftschalldämmmaß Rw = 31 dB. DIN 4109-1:2016-07, Tabelle 8, Zeile 6 fordert Rw ≥ 40 dB. Unterschreitung: 9 dB.</w:t>
      </w:r>
    </w:p>
    <w:p>
      <w:pPr>
        <w:jc w:val="left"/>
      </w:pPr>
      <w:r>
        <w:rPr>
          <w:b/>
        </w:rPr>
        <w:t>Ursache:</w:t>
      </w:r>
      <w:r>
        <w:t xml:space="preserve"> Trennwand einlagig Kalksandstein 11,5 cm statt erforderlich 24 cm zweischalig mit Hohlschicht. Falsches Bauteil verwendet.</w:t>
      </w:r>
    </w:p>
    <w:p>
      <w:pPr>
        <w:jc w:val="left"/>
      </w:pPr>
      <w:r>
        <w:rPr>
          <w:b/>
        </w:rPr>
        <w:t>Wertung:</w:t>
      </w:r>
      <w:r>
        <w:t xml:space="preserve"> Mangel; kein Fall von höherer Gewalt. Die Beklagte hätte die DIN 4109-1 als Fachunternehmen kennen müssen.</w:t>
      </w:r>
    </w:p>
    <w:p>
      <w:pPr>
        <w:jc w:val="left"/>
      </w:pPr>
      <w:r>
        <w:rPr>
          <w:b/>
        </w:rPr>
        <w:t>Mangelbeseitigungskosten:</w:t>
      </w:r>
      <w:r>
        <w:t xml:space="preserve"> 22.600 EUR (Vorvorsatz mit Trennfuge, Schallschutzvoranstrich, inkl. Trockenbauarbeiten, Malerarbeiten).</w:t>
      </w:r>
    </w:p>
    <w:p>
      <w:pPr>
        <w:pStyle w:val="Heading3"/>
      </w:pPr>
      <w:r>
        <w:rPr>
          <w:rFonts w:ascii="Times New Roman" w:hAnsi="Times New Roman"/>
        </w:rPr>
        <w:t>Mangel 3 — Dachentwässerung</w:t>
      </w:r>
    </w:p>
    <w:p>
      <w:pPr>
        <w:jc w:val="left"/>
      </w:pPr>
      <w:r>
        <w:rPr>
          <w:b/>
        </w:rPr>
        <w:t>Befund:</w:t>
      </w:r>
      <w:r>
        <w:t xml:space="preserve"> Falche Anschlusspunkte Kehle Nordseite (Dachneigung 28°, Einmündung Regenrohr zu flach); Bitumenbahn-Überlappung 10 cm statt 15 cm (DIN 18531-1). Wassereintritte an zwei Stellen dokumentiert.</w:t>
      </w:r>
    </w:p>
    <w:p>
      <w:pPr>
        <w:jc w:val="left"/>
      </w:pPr>
      <w:r>
        <w:rPr>
          <w:b/>
        </w:rPr>
        <w:t>Bemessungsregenspende:</w:t>
      </w:r>
      <w:r>
        <w:t xml:space="preserve"> Rosenheim r5 = 252 l/(s·ha); Starkregenereignis 10.12.2023 lag bei 71 mm/24h (meteorologisches Gutachten DWD), also r5 = 156 l/(s·ha) — weit unterhalb der Norm-Bemessungsgröße. Das Dach hätte standgehalten, wenn ordnungsgemäß ausgeführt.</w:t>
      </w:r>
    </w:p>
    <w:p>
      <w:pPr>
        <w:jc w:val="left"/>
      </w:pPr>
      <w:r>
        <w:rPr>
          <w:b/>
        </w:rPr>
        <w:t>Wertung:</w:t>
      </w:r>
      <w:r>
        <w:t xml:space="preserve"> Mangel; kein Höheres-Gewalt-Ereignis.</w:t>
      </w:r>
    </w:p>
    <w:p>
      <w:pPr>
        <w:jc w:val="left"/>
      </w:pPr>
      <w:r>
        <w:rPr>
          <w:b/>
        </w:rPr>
        <w:t>Mangelbeseitigungskosten:</w:t>
      </w:r>
      <w:r>
        <w:t xml:space="preserve"> 28.300 EUR.</w:t>
      </w:r>
    </w:p>
    <w:p>
      <w:pPr>
        <w:pStyle w:val="Heading3"/>
      </w:pPr>
      <w:r>
        <w:rPr>
          <w:rFonts w:ascii="Times New Roman" w:hAnsi="Times New Roman"/>
        </w:rPr>
        <w:t>Mangel 4 — Wärmedämmung Kellerdecke</w:t>
      </w:r>
    </w:p>
    <w:p>
      <w:pPr>
        <w:jc w:val="left"/>
      </w:pPr>
      <w:r>
        <w:rPr>
          <w:b/>
        </w:rPr>
        <w:t>Befund:</w:t>
      </w:r>
      <w:r>
        <w:t xml:space="preserve"> U-Wert Kellerdecke gemessen 0,46 W/m²K. GEG 2020 § 10 Abs. 2 i.V.m. Anlage 3, Tab. 1, Zeile 3 (Kellerdecken Neubau): max. U-Wert 0,30 W/m²K. Unterschreitung 53 %.</w:t>
      </w:r>
    </w:p>
    <w:p>
      <w:pPr>
        <w:jc w:val="left"/>
      </w:pPr>
      <w:r>
        <w:rPr>
          <w:b/>
        </w:rPr>
        <w:t>Ursache:</w:t>
      </w:r>
      <w:r>
        <w:t xml:space="preserve"> Dämmstoffdicke 6 cm EPS statt erforderlich 14 cm.</w:t>
      </w:r>
    </w:p>
    <w:p>
      <w:pPr>
        <w:jc w:val="left"/>
      </w:pPr>
      <w:r>
        <w:rPr>
          <w:b/>
        </w:rPr>
        <w:t>Mangelbeseitigungskosten:</w:t>
      </w:r>
      <w:r>
        <w:t xml:space="preserve"> 19.800 EUR.</w:t>
      </w:r>
    </w:p>
    <w:p/>
    <w:p>
      <w:pPr>
        <w:pStyle w:val="Heading2"/>
      </w:pPr>
      <w:r>
        <w:rPr>
          <w:rFonts w:ascii="Times New Roman" w:hAnsi="Times New Roman"/>
        </w:rPr>
        <w:t>Gesamtmangelbefunde und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Mangel</w:t>
            </w:r>
          </w:p>
        </w:tc>
        <w:tc>
          <w:tcPr>
            <w:tcW w:type="dxa" w:w="4536"/>
          </w:tcPr>
          <w:p>
            <w:r>
              <w:rPr>
                <w:rFonts w:ascii="Times New Roman" w:hAnsi="Times New Roman"/>
                <w:b/>
                <w:sz w:val="20"/>
              </w:rPr>
              <w:t>Mangelbeseitigungskosten</w:t>
            </w:r>
          </w:p>
        </w:tc>
      </w:tr>
      <w:tr>
        <w:tc>
          <w:tcPr>
            <w:tcW w:type="dxa" w:w="4536"/>
          </w:tcPr>
          <w:p>
            <w:r>
              <w:rPr>
                <w:rFonts w:ascii="Times New Roman" w:hAnsi="Times New Roman"/>
                <w:sz w:val="20"/>
              </w:rPr>
              <w:t>Kellerrisse</w:t>
            </w:r>
          </w:p>
        </w:tc>
        <w:tc>
          <w:tcPr>
            <w:tcW w:type="dxa" w:w="4536"/>
          </w:tcPr>
          <w:p>
            <w:r>
              <w:rPr>
                <w:rFonts w:ascii="Times New Roman" w:hAnsi="Times New Roman"/>
                <w:sz w:val="20"/>
              </w:rPr>
              <w:t>31.400 EUR</w:t>
            </w:r>
          </w:p>
        </w:tc>
      </w:tr>
      <w:tr>
        <w:tc>
          <w:tcPr>
            <w:tcW w:type="dxa" w:w="4536"/>
          </w:tcPr>
          <w:p>
            <w:r>
              <w:rPr>
                <w:rFonts w:ascii="Times New Roman" w:hAnsi="Times New Roman"/>
                <w:sz w:val="20"/>
              </w:rPr>
              <w:t>Schallschutz Trennwand</w:t>
            </w:r>
          </w:p>
        </w:tc>
        <w:tc>
          <w:tcPr>
            <w:tcW w:type="dxa" w:w="4536"/>
          </w:tcPr>
          <w:p>
            <w:r>
              <w:rPr>
                <w:rFonts w:ascii="Times New Roman" w:hAnsi="Times New Roman"/>
                <w:sz w:val="20"/>
              </w:rPr>
              <w:t>22.600 EUR</w:t>
            </w:r>
          </w:p>
        </w:tc>
      </w:tr>
      <w:tr>
        <w:tc>
          <w:tcPr>
            <w:tcW w:type="dxa" w:w="4536"/>
          </w:tcPr>
          <w:p>
            <w:r>
              <w:rPr>
                <w:rFonts w:ascii="Times New Roman" w:hAnsi="Times New Roman"/>
                <w:sz w:val="20"/>
              </w:rPr>
              <w:t>Dachentwässerung</w:t>
            </w:r>
          </w:p>
        </w:tc>
        <w:tc>
          <w:tcPr>
            <w:tcW w:type="dxa" w:w="4536"/>
          </w:tcPr>
          <w:p>
            <w:r>
              <w:rPr>
                <w:rFonts w:ascii="Times New Roman" w:hAnsi="Times New Roman"/>
                <w:sz w:val="20"/>
              </w:rPr>
              <w:t>28.300 EUR</w:t>
            </w:r>
          </w:p>
        </w:tc>
      </w:tr>
      <w:tr>
        <w:tc>
          <w:tcPr>
            <w:tcW w:type="dxa" w:w="4536"/>
          </w:tcPr>
          <w:p>
            <w:r>
              <w:rPr>
                <w:rFonts w:ascii="Times New Roman" w:hAnsi="Times New Roman"/>
                <w:sz w:val="20"/>
              </w:rPr>
              <w:t>Wärmedämmung Kellerdecke</w:t>
            </w:r>
          </w:p>
        </w:tc>
        <w:tc>
          <w:tcPr>
            <w:tcW w:type="dxa" w:w="4536"/>
          </w:tcPr>
          <w:p>
            <w:r>
              <w:rPr>
                <w:rFonts w:ascii="Times New Roman" w:hAnsi="Times New Roman"/>
                <w:sz w:val="20"/>
              </w:rPr>
              <w:t>19.800 EUR</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102.100 EUR</w:t>
            </w:r>
          </w:p>
        </w:tc>
      </w:tr>
    </w:tbl>
    <w:p/>
    <w:p>
      <w:pPr>
        <w:pStyle w:val="Heading2"/>
      </w:pPr>
      <w:r>
        <w:rPr>
          <w:rFonts w:ascii="Times New Roman" w:hAnsi="Times New Roman"/>
        </w:rPr>
        <w:t>Kausalzusammenhang Dach / Folgemängel (Beweisfrage 4)</w:t>
      </w:r>
    </w:p>
    <w:p>
      <w:pPr>
        <w:jc w:val="left"/>
      </w:pPr>
      <w:r>
        <w:t>Die Feuchtigkeitsschäden im EG (Schimmelbefall 18 qm, Parkett 42 qm Totalschaden) sind mit an Sicherheit grenzender Wahrscheinlichkeit kausal auf die mangelhafte Dachentwässerung zurückzuführen. Wasserintrittsanalyse (Thermografie 06.11.2026) belegt eindeutigen Feuchtepfad vom Dachbereich in die Außenwände EG.</w:t>
      </w:r>
    </w:p>
    <w:p>
      <w:pPr>
        <w:jc w:val="left"/>
      </w:pPr>
      <w:r>
        <w:rPr>
          <w:b/>
        </w:rPr>
        <w:t>Schadensschätzung Folgemängel:</w:t>
      </w:r>
      <w:r>
        <w:t xml:space="preserve"> 237.000 EUR (Schimmelbeseitigung, Trocknungsmaßnahmen, Parkett, Wandbeläge, Malerarbeiten, Einschränkungen Nutzbarkeit).</w:t>
      </w:r>
    </w:p>
    <w:p/>
    <w:p>
      <w:pPr>
        <w:pStyle w:val="Heading2"/>
      </w:pPr>
      <w:r>
        <w:rPr>
          <w:rFonts w:ascii="Times New Roman" w:hAnsi="Times New Roman"/>
        </w:rPr>
        <w:t>Minderungsberechnung (Beweisfrage 5)</w:t>
      </w:r>
    </w:p>
    <w:p>
      <w:pPr>
        <w:jc w:val="left"/>
      </w:pPr>
      <w:r>
        <w:t>Mangelfreier Verkehrswert des Werkes: 645.000 EUR</w:t>
      </w:r>
    </w:p>
    <w:p>
      <w:pPr>
        <w:jc w:val="left"/>
      </w:pPr>
      <w:r>
        <w:t>Wert des mangelhaften Werkes: 552.000 EUR</w:t>
      </w:r>
    </w:p>
    <w:p>
      <w:pPr>
        <w:jc w:val="left"/>
      </w:pPr>
      <w:r>
        <w:t>Minderungsquote: 14,4 %</w:t>
      </w:r>
    </w:p>
    <w:p>
      <w:pPr>
        <w:jc w:val="left"/>
      </w:pPr>
      <w:r>
        <w:t>Minderungsbetrag: 92.880 EUR</w:t>
      </w:r>
    </w:p>
    <w:p/>
    <w:p>
      <w:pPr>
        <w:pStyle w:val="Heading2"/>
      </w:pPr>
      <w:r>
        <w:rPr>
          <w:rFonts w:ascii="Times New Roman" w:hAnsi="Times New Roman"/>
        </w:rPr>
        <w:t>Fazit Sachverständiger</w:t>
      </w:r>
    </w:p>
    <w:p>
      <w:pPr>
        <w:jc w:val="left"/>
      </w:pPr>
      <w:r>
        <w:t>Alle vier Abnahmemängel sind technisch nachgewiesen und als Sachmängel i.S.d. § 633 BGB zu qualifizieren. Höhere Gewalt (Starkregenereignis) liegt nicht vor. Die Folgemängel sind kausal durch die mangelhafte Dachentwässerung verursacht.</w:t>
      </w:r>
    </w:p>
    <w:p>
      <w:pPr>
        <w:jc w:val="left"/>
      </w:pPr>
      <w:r>
        <w:t>Quelle: DIN 4109-1:2016-07 — din.de; GEG 2020 — gesetze-im-internet.de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Traunstein</w:t>
    </w:r>
  </w:p>
  <w:p>
    <w:pPr>
      <w:jc w:val="left"/>
      <w:pBdr>
        <w:bottom w:val="single" w:sz="6" w:space="2" w:color="3B3F45"/>
      </w:pBdr>
    </w:pPr>
    <w:r>
      <w:rPr>
        <w:rFonts w:ascii="Times New Roman" w:hAnsi="Times New Roman"/>
        <w:color w:val="6B6B66"/>
        <w:sz w:val="16"/>
      </w:rPr>
      <w:t>1. Zivilkammer · Az.: 1 O 2188/25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