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17 — Revisionsbegründung BGH VII ZR 2188/26 (Beklagte Saalbau)</w:t>
      </w:r>
    </w:p>
    <w:p>
      <w:pPr>
        <w:pStyle w:val="Heading2"/>
      </w:pPr>
      <w:r>
        <w:rPr>
          <w:rFonts w:ascii="Times New Roman" w:hAnsi="Times New Roman"/>
        </w:rPr>
        <w:t>Schriftsatz vom 15.07.2028</w:t>
      </w:r>
    </w:p>
    <w:p>
      <w:pPr>
        <w:jc w:val="left"/>
      </w:pPr>
      <w:r>
        <w:rPr>
          <w:b/>
        </w:rPr>
        <w:t>Az. BGH:</w:t>
      </w:r>
      <w:r>
        <w:t xml:space="preserve"> VII ZR 2188/26</w:t>
      </w:r>
    </w:p>
    <w:p>
      <w:pPr>
        <w:jc w:val="left"/>
      </w:pPr>
      <w:r>
        <w:rPr>
          <w:b/>
        </w:rPr>
        <w:t>Az. Vorinstanz:</w:t>
      </w:r>
      <w:r>
        <w:t xml:space="preserve"> OLG München 13 U 417/27</w:t>
      </w:r>
    </w:p>
    <w:p>
      <w:pPr>
        <w:jc w:val="left"/>
      </w:pPr>
      <w:r>
        <w:rPr>
          <w:b/>
        </w:rPr>
        <w:t>Revisionsführerin:</w:t>
      </w:r>
      <w:r>
        <w:t xml:space="preserve"> Saalbau Rosenheim GmbH (Beklagte)</w:t>
      </w:r>
    </w:p>
    <w:p>
      <w:pPr>
        <w:jc w:val="left"/>
      </w:pPr>
      <w:r>
        <w:rPr>
          <w:b/>
        </w:rPr>
        <w:t>Revisionsgegnerin:</w:t>
      </w:r>
      <w:r>
        <w:t xml:space="preserve"> Margarete Pohlmann (Klägerin)</w:t>
      </w:r>
    </w:p>
    <w:p>
      <w:pPr>
        <w:jc w:val="left"/>
      </w:pPr>
      <w:r>
        <w:rPr>
          <w:b/>
        </w:rPr>
        <w:t>Verfasser:</w:t>
      </w:r>
      <w:r>
        <w:t xml:space="preserve"> RA Dr. Siegbert Wollner (zugelassener Rechtsanwalt beim BGH), Karlsruhe</w:t>
      </w:r>
    </w:p>
    <w:p/>
    <w:p>
      <w:pPr>
        <w:pStyle w:val="Heading2"/>
      </w:pPr>
      <w:r>
        <w:rPr>
          <w:rFonts w:ascii="Times New Roman" w:hAnsi="Times New Roman"/>
        </w:rPr>
        <w:t>Formalia</w:t>
      </w:r>
    </w:p>
    <w:p>
      <w:pPr>
        <w:jc w:val="left"/>
      </w:pPr>
      <w:r>
        <w:t>Die Revision wurde mit Schriftsatz vom 18.06.2028 form- und fristgerecht eingelegt (§ 548 ZPO; Zustellung OLG-Urteil 20.05.2028; Frist bis 20.06.2028 — Eingang BGH 18.06.2028).</w:t>
      </w:r>
    </w:p>
    <w:p>
      <w:pPr>
        <w:jc w:val="left"/>
      </w:pPr>
      <w:r>
        <w:t xml:space="preserve">Die Revisionsbegründungsfrist (§ 551 Abs. 2 ZPO: 2 Monate ab Zustellung) läuft bis </w:t>
      </w:r>
      <w:r>
        <w:rPr>
          <w:b/>
        </w:rPr>
        <w:t>20.07.2028</w:t>
      </w:r>
      <w:r>
        <w:t>. Schriftsatz am 15.07.2028 fristgerecht eingereicht.</w:t>
      </w:r>
    </w:p>
    <w:p/>
    <w:p>
      <w:pPr>
        <w:pStyle w:val="Heading2"/>
      </w:pPr>
      <w:r>
        <w:rPr>
          <w:rFonts w:ascii="Times New Roman" w:hAnsi="Times New Roman"/>
        </w:rPr>
        <w:t>Revisionsanträge</w:t>
      </w:r>
    </w:p>
    <w:p>
      <w:pPr>
        <w:jc w:val="left"/>
      </w:pPr>
      <w:r>
        <w:rPr>
          <w:b/>
        </w:rPr>
        <w:t>1.</w:t>
      </w:r>
      <w:r>
        <w:t xml:space="preserve"> Das Urteil des OLG München vom 30.04.2028, Az. 13 U 417/27, wird aufgehoben, soweit die Beklagte verurteilt wurde, an die Klägerin den auf die AGB-Klausel § 9 entfallenden Anteil der Forderung (Bodenaustausch-Mehrkosten 112.000 EUR, bereinigt um Kürzungen: 95.000 EUR + 14.700 EUR OLG = 109.700 EUR) zu zahlen.</w:t>
      </w:r>
    </w:p>
    <w:p>
      <w:pPr>
        <w:jc w:val="left"/>
      </w:pPr>
      <w:r>
        <w:rPr>
          <w:b/>
        </w:rPr>
        <w:t>2.</w:t>
      </w:r>
      <w:r>
        <w:t xml:space="preserve"> Hilfsweise: Die Sache wird zur erneuten Verhandlung an das OLG München zurückverwiesen.</w:t>
      </w:r>
    </w:p>
    <w:p/>
    <w:p>
      <w:pPr>
        <w:pStyle w:val="Heading2"/>
      </w:pPr>
      <w:r>
        <w:rPr>
          <w:rFonts w:ascii="Times New Roman" w:hAnsi="Times New Roman"/>
        </w:rPr>
        <w:t>Revisionsgründe</w:t>
      </w:r>
    </w:p>
    <w:p>
      <w:pPr>
        <w:pStyle w:val="Heading3"/>
      </w:pPr>
      <w:r>
        <w:rPr>
          <w:rFonts w:ascii="Times New Roman" w:hAnsi="Times New Roman"/>
        </w:rPr>
        <w:t>I. Grundsätzliche Bedeutung (§ 543 Abs. 2 Nr. 1 ZPO)</w:t>
      </w:r>
    </w:p>
    <w:p>
      <w:pPr>
        <w:jc w:val="left"/>
      </w:pPr>
      <w:r>
        <w:t>Die Revision ist zugelassen wegen grundsätzlicher Bedeutung der Rechtsfrage, ob eine AGB-Klausel in einem Verbraucher-Bauvertrag, die dem Bauherrn die Mehrkosten unvorhergesehener Bodenverhältnisse aufbürdet, nach § 307 BGB unwirksam ist.</w:t>
      </w:r>
    </w:p>
    <w:p>
      <w:pPr>
        <w:jc w:val="left"/>
      </w:pPr>
      <w:r>
        <w:t>Diese Frage ist für eine Vielzahl von Verträgen der Baubranche relevant. Sie hat erhebliche wirtschaftliche Auswirkungen: Wird solche Klauseln flächendeckend für unwirksam erklärt, werden Bauunternehmer das Risiko einpreisen und Baupreise steigen. Die Revision dient der Rechtsfortbildung und Sicherung einer einheitlichen Rechtsprechung.</w:t>
      </w:r>
    </w:p>
    <w:p>
      <w:pPr>
        <w:pStyle w:val="Heading3"/>
      </w:pPr>
      <w:r>
        <w:rPr>
          <w:rFonts w:ascii="Times New Roman" w:hAnsi="Times New Roman"/>
        </w:rPr>
        <w:t>II. Verletzung materiellen Rechts — § 307 BGB</w:t>
      </w:r>
    </w:p>
    <w:p>
      <w:pPr>
        <w:jc w:val="left"/>
      </w:pPr>
      <w:r>
        <w:t>Das OLG hat § 307 BGB unrichtig angewendet. Die Inhaltskontrolle einer AGB-Klausel nach § 307 Abs. 1 BGB erfordert eine Gesamtabwägung aller Umstände. Das OLG hat:</w:t>
      </w:r>
    </w:p>
    <w:p>
      <w:pPr>
        <w:jc w:val="left"/>
      </w:pPr>
      <w:r>
        <w:t>a) nicht berücksichtigt, dass die Klausel dem Unternehmer kein einseitiges Risiko auferlegt, sondern eine bereits vom Gesetz angelegte Risikoverteilung (unvorhergesehene Umstände bei Grundstücken liegen typischerweise im Risikobereich des Grundstückseigentümers) konkretisiert.</w:t>
      </w:r>
    </w:p>
    <w:p>
      <w:pPr>
        <w:jc w:val="left"/>
      </w:pPr>
      <w:r>
        <w:t>b) zu Unrecht die VOB/B-Systematik vollständig außer Acht gelassen; § 7 VOB/B enthält eine dem § 9 des Werkvertrages ähnliche Regelung und ist als branchenübliche Risikoverteilung anerkannt.</w:t>
      </w:r>
    </w:p>
    <w:p>
      <w:pPr>
        <w:jc w:val="left"/>
      </w:pPr>
      <w:r>
        <w:t>c) nicht ausreichend differenziert, ob die Klägerin als Verbraucherin tatsächlich schutzbedürftig war oder ob sie bei dem Vertragsschluss hinreichend beraten war.</w:t>
      </w:r>
    </w:p>
    <w:p>
      <w:pPr>
        <w:pStyle w:val="Heading3"/>
      </w:pPr>
      <w:r>
        <w:rPr>
          <w:rFonts w:ascii="Times New Roman" w:hAnsi="Times New Roman"/>
        </w:rPr>
        <w:t>III. Verletzung materiellen Rechts — Hinweispflicht</w:t>
      </w:r>
    </w:p>
    <w:p>
      <w:pPr>
        <w:jc w:val="left"/>
      </w:pPr>
      <w:r>
        <w:t>Das OLG sieht in der fehlenden Voruntersuchung durch die Beklagte eine Pflichtverletzung. Dies überdehnt die werkvertraglichen Pflichten des Auftragnehmers. Der BGH hat in VII ZR 282/14 zwar Hinweispflichten bejaht, aber nur für den Fall erkennbarer Risiken. Die Beklagte war kein Bodengutachter; ohne konkrete Anhaltspunkte für Kontaminationen (die allein aus der Nachbarschaft einer ehemaligen Tankstelle nicht zwingend zu schließen sind) traf sie keine Voruntersuchungspflicht.</w:t>
      </w:r>
    </w:p>
    <w:p/>
    <w:p>
      <w:pPr>
        <w:pStyle w:val="Heading2"/>
      </w:pPr>
      <w:r>
        <w:rPr>
          <w:rFonts w:ascii="Times New Roman" w:hAnsi="Times New Roman"/>
        </w:rPr>
        <w:t>Praxisbedeutung</w:t>
      </w:r>
    </w:p>
    <w:p>
      <w:pPr>
        <w:jc w:val="left"/>
      </w:pPr>
      <w:r>
        <w:t>Die Entscheidung betrifft das gesamte Werkvertragsrecht im Wohnungsbau. Nach Angaben des Zentralverbands des Deutschen Baugewerbes wurden 2024 bundesweit über 120.000 Wohnhäuser errichtet; bei einem Anteil von geschätzten 15 % mit kontaminationsverdächtigen Grundstücken sind rund 18.000 Bauverträge potenziell betroffen. Die Rechtsunsicherheit ist erheblich.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 543 ZPO (Zulassung Revision) — dejure.org/gesetze/ZPO/543.html</w:t>
      </w:r>
    </w:p>
    <w:p>
      <w:pPr>
        <w:pStyle w:val="ListBullet"/>
      </w:pPr>
      <w:r>
        <w:t>§ 551 ZPO (Revisionsbegründung) — dejure.org/gesetze/ZPO/551.html</w:t>
      </w:r>
    </w:p>
    <w:p>
      <w:pPr>
        <w:pStyle w:val="ListBullet"/>
      </w:pPr>
      <w:r>
        <w:t>BGH VII ZR 282/14 — bundesgerichtshof.de</w:t>
      </w:r>
    </w:p>
    <w:p>
      <w:pPr>
        <w:pStyle w:val="ListBullet"/>
      </w:pPr>
      <w:r>
        <w:t>§ 307 BGB (AGB-Kontrolle) — dejure.org/gesetze/BGB/307.html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Saalbau Rosenheim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Saalbau Rosenheim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VII ZR 2188/26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