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Schuldnermitteilung des Zwangsverwalters an das Vollstreckungsgericht</w:t>
      </w:r>
    </w:p>
    <w:p>
      <w:pPr>
        <w:jc w:val="left"/>
      </w:pPr>
      <w:r>
        <w:rPr>
          <w:b/>
        </w:rPr>
        <w:t>An:</w:t>
      </w:r>
    </w:p>
    <w:p>
      <w:pPr>
        <w:jc w:val="left"/>
      </w:pPr>
      <w:r>
        <w:t>Amtsgericht Hamburg, Abteilung 71</w:t>
      </w:r>
    </w:p>
    <w:p>
      <w:pPr>
        <w:jc w:val="left"/>
      </w:pPr>
      <w:r>
        <w:t>Sievekingplatz 1</w:t>
      </w:r>
    </w:p>
    <w:p>
      <w:pPr>
        <w:jc w:val="left"/>
      </w:pPr>
      <w:r>
        <w:t>20355 Hamburg</w:t>
      </w:r>
    </w:p>
    <w:p>
      <w:pPr>
        <w:jc w:val="left"/>
      </w:pPr>
      <w:r>
        <w:rPr>
          <w:b/>
        </w:rPr>
        <w:t>Von:</w:t>
      </w:r>
    </w:p>
    <w:p>
      <w:pPr>
        <w:jc w:val="left"/>
      </w:pPr>
      <w:r>
        <w:t>Ralf Benderoth</w:t>
      </w:r>
    </w:p>
    <w:p>
      <w:pPr>
        <w:jc w:val="left"/>
      </w:pPr>
      <w:r>
        <w:t>Zwangsverwalter</w:t>
      </w:r>
    </w:p>
    <w:p>
      <w:pPr>
        <w:jc w:val="left"/>
      </w:pPr>
      <w:r>
        <w:t>c/o Benderoth &amp; Kassel Immobilienverwaltung GmbH</w:t>
      </w:r>
    </w:p>
    <w:p>
      <w:pPr>
        <w:jc w:val="left"/>
      </w:pPr>
      <w:r>
        <w:t>Grindelallee 99, 20146 Hamburg</w:t>
      </w:r>
    </w:p>
    <w:p>
      <w:pPr>
        <w:jc w:val="left"/>
      </w:pPr>
      <w:r>
        <w:rPr>
          <w:b/>
        </w:rPr>
        <w:t>Datum:</w:t>
      </w:r>
      <w:r>
        <w:t xml:space="preserve"> 03.06.2026</w:t>
      </w:r>
    </w:p>
    <w:p>
      <w:pPr>
        <w:jc w:val="left"/>
      </w:pPr>
      <w:r>
        <w:rPr>
          <w:b/>
        </w:rPr>
        <w:t>Aktenzeichen ZV:</w:t>
      </w:r>
      <w:r>
        <w:t xml:space="preserve"> 71 L 44/25</w:t>
      </w:r>
    </w:p>
    <w:p>
      <w:pPr>
        <w:jc w:val="left"/>
      </w:pPr>
      <w:r>
        <w:rPr>
          <w:b/>
        </w:rPr>
        <w:t>Aktenzeichen ZVG:</w:t>
      </w:r>
      <w:r>
        <w:t xml:space="preserve"> 71 K 18/26</w:t>
      </w:r>
    </w:p>
    <w:p>
      <w:pPr>
        <w:jc w:val="left"/>
      </w:pPr>
      <w:r>
        <w:rPr>
          <w:b/>
        </w:rPr>
        <w:t>Objekt:</w:t>
      </w:r>
      <w:r>
        <w:t xml:space="preserve"> WE Nr. 9, Eppendorfer Mühlenbogen 16 / Heilwigbogen 4, 20249 Hamburg</w:t>
      </w:r>
    </w:p>
    <w:p/>
    <w:p>
      <w:pPr>
        <w:jc w:val="left"/>
      </w:pPr>
      <w:r>
        <w:rPr>
          <w:b/>
        </w:rPr>
        <w:t>Betreff: Schuldnermitteilung gem. Paragraf 153 ZVG – aktueller Sachstand Zwangsverwaltung und Übergabe an Zwangsversteigerungsverfahren</w:t>
      </w:r>
    </w:p>
    <w:p/>
    <w:p>
      <w:pPr>
        <w:jc w:val="left"/>
      </w:pPr>
      <w:r>
        <w:t>Sehr geehrte Damen und Herren,</w:t>
      </w:r>
    </w:p>
    <w:p>
      <w:pPr>
        <w:jc w:val="left"/>
      </w:pPr>
      <w:r>
        <w:t>ich erteile hiermit die erbetene Auskunft zum aktuellen Sachstand der Zwangsverwaltung über das im Betreff genannte Objekt sowie zur Vorbereitung der Vermögensübersicht für das Zwangsversteigerungsverfahren 71 K 18/26.</w:t>
      </w:r>
    </w:p>
    <w:p/>
    <w:p>
      <w:pPr>
        <w:pStyle w:val="Heading2"/>
      </w:pPr>
      <w:r>
        <w:rPr>
          <w:rFonts w:ascii="Times New Roman" w:hAnsi="Times New Roman"/>
        </w:rPr>
        <w:t>I. Angaben zur Schuldnerin / zum Schuldner</w:t>
      </w:r>
    </w:p>
    <w:p>
      <w:pPr>
        <w:jc w:val="left"/>
      </w:pPr>
      <w:r>
        <w:t xml:space="preserve">Die Vollstreckungsschuldner sind die Mitglieder der </w:t>
      </w:r>
      <w:r>
        <w:rPr>
          <w:b/>
        </w:rPr>
        <w:t>Erbengemeinschaft nach Jonas R. Albrecht</w:t>
      </w:r>
      <w:r>
        <w:t>. Nach den mir vorliegenden Unterlagen handelt es sich um zwei Miterben:</w:t>
      </w:r>
    </w:p>
    <w:tbl>
      <w:tblPr>
        <w:tblStyle w:val="TableGrid"/>
        <w:tblW w:type="auto" w:w="0"/>
        <w:tblLook w:firstColumn="1" w:firstRow="1" w:lastColumn="0" w:lastRow="0" w:noHBand="0" w:noVBand="1" w:val="04A0"/>
      </w:tblPr>
      <w:tblGrid>
        <w:gridCol w:w="3024"/>
        <w:gridCol w:w="3024"/>
        <w:gridCol w:w="3024"/>
      </w:tblGrid>
      <w:tr>
        <w:trPr>
          <w:cantSplit/>
        </w:trPr>
        <w:tc>
          <w:tcPr>
            <w:tcW w:type="dxa" w:w="3024"/>
          </w:tcPr>
          <w:p>
            <w:pPr>
              <w:keepNext/>
            </w:pPr>
            <w:r>
              <w:rPr>
                <w:rFonts w:ascii="Times New Roman" w:hAnsi="Times New Roman"/>
                <w:b/>
                <w:sz w:val="20"/>
              </w:rPr>
              <w:t>Nr.</w:t>
            </w:r>
          </w:p>
        </w:tc>
        <w:tc>
          <w:tcPr>
            <w:tcW w:type="dxa" w:w="3024"/>
          </w:tcPr>
          <w:p>
            <w:pPr>
              <w:keepNext/>
            </w:pPr>
            <w:r>
              <w:rPr>
                <w:rFonts w:ascii="Times New Roman" w:hAnsi="Times New Roman"/>
                <w:b/>
                <w:sz w:val="20"/>
              </w:rPr>
              <w:t>Bezeichnung</w:t>
            </w:r>
          </w:p>
        </w:tc>
        <w:tc>
          <w:tcPr>
            <w:tcW w:type="dxa" w:w="3024"/>
          </w:tcPr>
          <w:p>
            <w:pPr>
              <w:keepNext/>
            </w:pPr>
            <w:r>
              <w:rPr>
                <w:rFonts w:ascii="Times New Roman" w:hAnsi="Times New Roman"/>
                <w:b/>
                <w:sz w:val="20"/>
              </w:rPr>
              <w:t>Stellung</w:t>
            </w:r>
          </w:p>
        </w:tc>
      </w:tr>
      <w:tr>
        <w:trPr>
          <w:cantSplit/>
        </w:trPr>
        <w:tc>
          <w:tcPr>
            <w:tcW w:type="dxa" w:w="3024"/>
          </w:tcPr>
          <w:p>
            <w:pPr>
              <w:keepNext/>
            </w:pPr>
            <w:r>
              <w:rPr>
                <w:rFonts w:ascii="Times New Roman" w:hAnsi="Times New Roman"/>
                <w:sz w:val="20"/>
              </w:rPr>
              <w:t>1</w:t>
            </w:r>
          </w:p>
        </w:tc>
        <w:tc>
          <w:tcPr>
            <w:tcW w:type="dxa" w:w="3024"/>
          </w:tcPr>
          <w:p>
            <w:pPr>
              <w:keepNext/>
            </w:pPr>
            <w:r>
              <w:rPr>
                <w:rFonts w:ascii="Times New Roman" w:hAnsi="Times New Roman"/>
                <w:sz w:val="20"/>
              </w:rPr>
              <w:t>Miterbe 1: Heinrich J. Albrecht, geboren am 14. Februar 1967, Holtenauer Straße 88, 24105 Kiel</w:t>
            </w:r>
          </w:p>
        </w:tc>
        <w:tc>
          <w:tcPr>
            <w:tcW w:type="dxa" w:w="3024"/>
          </w:tcPr>
          <w:p>
            <w:pPr>
              <w:keepNext/>
            </w:pPr>
            <w:r>
              <w:rPr>
                <w:rFonts w:ascii="Times New Roman" w:hAnsi="Times New Roman"/>
                <w:sz w:val="20"/>
              </w:rPr>
              <w:t>Miterbe zu ½</w:t>
            </w:r>
          </w:p>
        </w:tc>
      </w:tr>
      <w:tr>
        <w:trPr>
          <w:cantSplit/>
        </w:trPr>
        <w:tc>
          <w:tcPr>
            <w:tcW w:type="dxa" w:w="3024"/>
          </w:tcPr>
          <w:p>
            <w:r>
              <w:rPr>
                <w:rFonts w:ascii="Times New Roman" w:hAnsi="Times New Roman"/>
                <w:sz w:val="20"/>
              </w:rPr>
              <w:t>2</w:t>
            </w:r>
          </w:p>
        </w:tc>
        <w:tc>
          <w:tcPr>
            <w:tcW w:type="dxa" w:w="3024"/>
          </w:tcPr>
          <w:p>
            <w:r>
              <w:rPr>
                <w:rFonts w:ascii="Times New Roman" w:hAnsi="Times New Roman"/>
                <w:sz w:val="20"/>
              </w:rPr>
              <w:t>Miterbin 2: Sofie Albrecht-Wegener, geboren am 9. November 1972, Klosterstern 16, 20149 Hamburg</w:t>
            </w:r>
          </w:p>
        </w:tc>
        <w:tc>
          <w:tcPr>
            <w:tcW w:type="dxa" w:w="3024"/>
          </w:tcPr>
          <w:p>
            <w:r>
              <w:rPr>
                <w:rFonts w:ascii="Times New Roman" w:hAnsi="Times New Roman"/>
                <w:sz w:val="20"/>
              </w:rPr>
              <w:t>Miterbin zu ½</w:t>
            </w:r>
          </w:p>
        </w:tc>
      </w:tr>
    </w:tbl>
    <w:p>
      <w:pPr>
        <w:jc w:val="left"/>
      </w:pPr>
      <w:r>
        <w:t>Beide Miterben sind postalisch und telefonisch über ihre jeweils benannten Bevollmächtigten erreichbar. Ein gemeinschaftlicher Vertreter der Erbengemeinschaft für das Verwaltungshandeln wurde nicht bestellt. Entsprechende Mitteilungen wurden stets an beide Miterben gesondert versandt.</w:t>
      </w:r>
    </w:p>
    <w:p/>
    <w:p>
      <w:pPr>
        <w:pStyle w:val="Heading2"/>
      </w:pPr>
      <w:r>
        <w:rPr>
          <w:rFonts w:ascii="Times New Roman" w:hAnsi="Times New Roman"/>
        </w:rPr>
        <w:t>II. Sachstand Mietverhältnis</w:t>
      </w:r>
    </w:p>
    <w:p>
      <w:pPr>
        <w:jc w:val="left"/>
      </w:pPr>
      <w:r>
        <w:t xml:space="preserve">Das Objekt ist seit dem 01.11.2021 an Herrn </w:t>
      </w:r>
      <w:r>
        <w:rPr>
          <w:b/>
        </w:rPr>
        <w:t>L. Sommer</w:t>
      </w:r>
      <w:r>
        <w:t xml:space="preserve"> zu Wohnzwecken vermietet. Die aktuelle Nettokaltmiete beträgt 1.320,00 EUR monatlich zuzüglich Betriebskostenvorauszahlungen von 260,00 EUR (gesamt: 1.580,00 EUR monatlich).</w:t>
      </w:r>
    </w:p>
    <w:p>
      <w:pPr>
        <w:pStyle w:val="Heading3"/>
      </w:pPr>
      <w:r>
        <w:rPr>
          <w:rFonts w:ascii="Times New Roman" w:hAnsi="Times New Roman"/>
        </w:rPr>
        <w:t>Mieteingang und Rückstände</w:t>
      </w:r>
    </w:p>
    <w:tbl>
      <w:tblPr>
        <w:tblStyle w:val="TableGrid"/>
        <w:tblW w:type="auto" w:w="0"/>
        <w:tblLook w:firstColumn="1" w:firstRow="1" w:lastColumn="0" w:lastRow="0" w:noHBand="0" w:noVBand="1" w:val="04A0"/>
      </w:tblPr>
      <w:tblGrid>
        <w:gridCol w:w="2268"/>
        <w:gridCol w:w="2268"/>
        <w:gridCol w:w="2268"/>
        <w:gridCol w:w="2268"/>
      </w:tblGrid>
      <w:tr>
        <w:trPr>
          <w:cantSplit/>
        </w:trPr>
        <w:tc>
          <w:tcPr>
            <w:tcW w:type="dxa" w:w="2268"/>
          </w:tcPr>
          <w:p>
            <w:r>
              <w:rPr>
                <w:rFonts w:ascii="Times New Roman" w:hAnsi="Times New Roman"/>
                <w:b/>
                <w:sz w:val="20"/>
              </w:rPr>
              <w:t>Monat</w:t>
            </w:r>
          </w:p>
        </w:tc>
        <w:tc>
          <w:tcPr>
            <w:tcW w:type="dxa" w:w="2268"/>
          </w:tcPr>
          <w:p>
            <w:r>
              <w:rPr>
                <w:rFonts w:ascii="Times New Roman" w:hAnsi="Times New Roman"/>
                <w:b/>
                <w:sz w:val="20"/>
              </w:rPr>
              <w:t>Fälligkeit</w:t>
            </w:r>
          </w:p>
        </w:tc>
        <w:tc>
          <w:tcPr>
            <w:tcW w:type="dxa" w:w="2268"/>
          </w:tcPr>
          <w:p>
            <w:r>
              <w:rPr>
                <w:rFonts w:ascii="Times New Roman" w:hAnsi="Times New Roman"/>
                <w:b/>
                <w:sz w:val="20"/>
              </w:rPr>
              <w:t>Eingang</w:t>
            </w:r>
          </w:p>
        </w:tc>
        <w:tc>
          <w:tcPr>
            <w:tcW w:type="dxa" w:w="2268"/>
          </w:tcPr>
          <w:p>
            <w:r>
              <w:rPr>
                <w:rFonts w:ascii="Times New Roman" w:hAnsi="Times New Roman"/>
                <w:b/>
                <w:sz w:val="20"/>
              </w:rPr>
              <w:t>Rückstand</w:t>
            </w:r>
          </w:p>
        </w:tc>
      </w:tr>
      <w:tr>
        <w:trPr>
          <w:cantSplit/>
        </w:trPr>
        <w:tc>
          <w:tcPr>
            <w:tcW w:type="dxa" w:w="2268"/>
          </w:tcPr>
          <w:p>
            <w:r>
              <w:rPr>
                <w:rFonts w:ascii="Times New Roman" w:hAnsi="Times New Roman"/>
                <w:sz w:val="20"/>
              </w:rPr>
              <w:t>Januar 2026</w:t>
            </w:r>
          </w:p>
        </w:tc>
        <w:tc>
          <w:tcPr>
            <w:tcW w:type="dxa" w:w="2268"/>
          </w:tcPr>
          <w:p>
            <w:r>
              <w:rPr>
                <w:rFonts w:ascii="Times New Roman" w:hAnsi="Times New Roman"/>
                <w:sz w:val="20"/>
              </w:rPr>
              <w:t>03.01.2026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Februar 2026</w:t>
            </w:r>
          </w:p>
        </w:tc>
        <w:tc>
          <w:tcPr>
            <w:tcW w:type="dxa" w:w="2268"/>
          </w:tcPr>
          <w:p>
            <w:r>
              <w:rPr>
                <w:rFonts w:ascii="Times New Roman" w:hAnsi="Times New Roman"/>
                <w:sz w:val="20"/>
              </w:rPr>
              <w:t>03.02.2026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März 2026</w:t>
            </w:r>
          </w:p>
        </w:tc>
        <w:tc>
          <w:tcPr>
            <w:tcW w:type="dxa" w:w="2268"/>
          </w:tcPr>
          <w:p>
            <w:r>
              <w:rPr>
                <w:rFonts w:ascii="Times New Roman" w:hAnsi="Times New Roman"/>
                <w:sz w:val="20"/>
              </w:rPr>
              <w:t>03.03.2026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April 2026</w:t>
            </w:r>
          </w:p>
        </w:tc>
        <w:tc>
          <w:tcPr>
            <w:tcW w:type="dxa" w:w="2268"/>
          </w:tcPr>
          <w:p>
            <w:r>
              <w:rPr>
                <w:rFonts w:ascii="Times New Roman" w:hAnsi="Times New Roman"/>
                <w:sz w:val="20"/>
              </w:rPr>
              <w:t>03.04.2026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sz w:val="20"/>
              </w:rPr>
              <w:t>Mai 2026</w:t>
            </w:r>
          </w:p>
        </w:tc>
        <w:tc>
          <w:tcPr>
            <w:tcW w:type="dxa" w:w="2268"/>
          </w:tcPr>
          <w:p>
            <w:r>
              <w:rPr>
                <w:rFonts w:ascii="Times New Roman" w:hAnsi="Times New Roman"/>
                <w:sz w:val="20"/>
              </w:rPr>
              <w:t>03.05.2026</w:t>
            </w:r>
          </w:p>
        </w:tc>
        <w:tc>
          <w:tcPr>
            <w:tcW w:type="dxa" w:w="2268"/>
          </w:tcPr>
          <w:p>
            <w:r>
              <w:rPr>
                <w:rFonts w:ascii="Times New Roman" w:hAnsi="Times New Roman"/>
                <w:sz w:val="20"/>
              </w:rPr>
              <w:t>1.580,00 EUR</w:t>
            </w:r>
          </w:p>
        </w:tc>
        <w:tc>
          <w:tcPr>
            <w:tcW w:type="dxa" w:w="2268"/>
          </w:tcPr>
          <w:p>
            <w:r>
              <w:rPr>
                <w:rFonts w:ascii="Times New Roman" w:hAnsi="Times New Roman"/>
                <w:sz w:val="20"/>
              </w:rPr>
              <w:t>—</w:t>
            </w:r>
          </w:p>
        </w:tc>
      </w:tr>
      <w:tr>
        <w:trPr>
          <w:cantSplit/>
        </w:trPr>
        <w:tc>
          <w:tcPr>
            <w:tcW w:type="dxa" w:w="2268"/>
          </w:tcPr>
          <w:p>
            <w:r>
              <w:rPr>
                <w:rFonts w:ascii="Times New Roman" w:hAnsi="Times New Roman"/>
                <w:b/>
                <w:sz w:val="20"/>
              </w:rPr>
              <w:t>Summe 2026</w:t>
            </w:r>
          </w:p>
        </w:tc>
        <w:tc>
          <w:tcPr>
            <w:tcW w:type="dxa" w:w="2268"/>
          </w:tcPr>
          <w:p/>
        </w:tc>
        <w:tc>
          <w:tcPr>
            <w:tcW w:type="dxa" w:w="2268"/>
          </w:tcPr>
          <w:p>
            <w:r>
              <w:rPr>
                <w:rFonts w:ascii="Times New Roman" w:hAnsi="Times New Roman"/>
                <w:b/>
                <w:sz w:val="20"/>
              </w:rPr>
              <w:t>7.900,00 EUR</w:t>
            </w:r>
          </w:p>
        </w:tc>
        <w:tc>
          <w:tcPr>
            <w:tcW w:type="dxa" w:w="2268"/>
          </w:tcPr>
          <w:p>
            <w:r>
              <w:rPr>
                <w:rFonts w:ascii="Times New Roman" w:hAnsi="Times New Roman"/>
                <w:b/>
                <w:sz w:val="20"/>
              </w:rPr>
              <w:t>0,00 EUR</w:t>
            </w:r>
          </w:p>
        </w:tc>
      </w:tr>
    </w:tbl>
    <w:p>
      <w:pPr>
        <w:jc w:val="left"/>
      </w:pPr>
      <w:r>
        <w:t>Mietrückstände bestehen zum Berichtszeitpunkt (03.06.2026) nicht. Die Miete wird pünktlich überwiesen.</w:t>
      </w:r>
    </w:p>
    <w:p>
      <w:pPr>
        <w:jc w:val="left"/>
      </w:pPr>
      <w:r>
        <w:rPr>
          <w:b/>
        </w:rPr>
        <w:t>Nutzungsunklarheit:</w:t>
      </w:r>
      <w:r>
        <w:t xml:space="preserve"> Wie bereits im Gutachten dokumentiert (Az. 2026-HH-117), wurden am Klingelschild drei Namen und am Briefkasten die Bezeichnung "Atelier Nordbogen" festgestellt. Eine tatsächliche Klärung der Nutzung war mir als Zwangsverwalter nicht möglich. Der Mieter bestreitet jede gewerbliche Nutzung. Eine Innenbesichtigung wurde trotz mehrfacher Anfrage nicht gestattet. Ich habe diesbezüglich Herr L. Sommer mit Schreiben vom 14.04.2026 und 12.05.2026 in Verzug gesetzt und empfehle dem Vollstreckungsgericht, dies den Bietern im Versteigerungstermin mitzuteilen.</w:t>
      </w:r>
    </w:p>
    <w:p/>
    <w:p>
      <w:pPr>
        <w:pStyle w:val="Heading2"/>
      </w:pPr>
      <w:r>
        <w:rPr>
          <w:rFonts w:ascii="Times New Roman" w:hAnsi="Times New Roman"/>
        </w:rPr>
        <w:t>III. WEG-Hausgeld und Rückstände</w:t>
      </w:r>
    </w:p>
    <w:p>
      <w:pPr>
        <w:jc w:val="left"/>
      </w:pPr>
      <w:r>
        <w:t>Das laufende Hausgeld beträgt gemäß Wirtschaftsplan der WEG Eppendorfer Mühlenbogen 16 für das Jahr 2026 insgesamt 512,00 EUR monatlich (davon 126,00 EUR anteiliger Beitrag zur Erhaltungsrücklage).</w:t>
      </w:r>
    </w:p>
    <w:tbl>
      <w:tblPr>
        <w:tblStyle w:val="TableGrid"/>
        <w:tblW w:type="auto" w:w="0"/>
        <w:tblLook w:firstColumn="1" w:firstRow="1" w:lastColumn="0" w:lastRow="0" w:noHBand="0" w:noVBand="1" w:val="04A0"/>
      </w:tblPr>
      <w:tblGrid>
        <w:gridCol w:w="4536"/>
        <w:gridCol w:w="4536"/>
      </w:tblGrid>
      <w:tr>
        <w:trPr>
          <w:cantSplit/>
        </w:trP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rPr>
          <w:cantSplit/>
        </w:trPr>
        <w:tc>
          <w:tcPr>
            <w:tcW w:type="dxa" w:w="4536"/>
          </w:tcPr>
          <w:p>
            <w:r>
              <w:rPr>
                <w:rFonts w:ascii="Times New Roman" w:hAnsi="Times New Roman"/>
                <w:sz w:val="20"/>
              </w:rPr>
              <w:t>Hausgeld Jan–Mai 2026 (5 × 512,00 EUR)</w:t>
            </w:r>
          </w:p>
        </w:tc>
        <w:tc>
          <w:tcPr>
            <w:tcW w:type="dxa" w:w="4536"/>
          </w:tcPr>
          <w:p>
            <w:r>
              <w:rPr>
                <w:rFonts w:ascii="Times New Roman" w:hAnsi="Times New Roman"/>
                <w:sz w:val="20"/>
              </w:rPr>
              <w:t>2.560,00 EUR</w:t>
            </w:r>
          </w:p>
        </w:tc>
      </w:tr>
      <w:tr>
        <w:trPr>
          <w:cantSplit/>
        </w:trPr>
        <w:tc>
          <w:tcPr>
            <w:tcW w:type="dxa" w:w="4536"/>
          </w:tcPr>
          <w:p>
            <w:r>
              <w:rPr>
                <w:rFonts w:ascii="Times New Roman" w:hAnsi="Times New Roman"/>
                <w:sz w:val="20"/>
              </w:rPr>
              <w:t>Davon bezahlt aus Mieteinnahmen</w:t>
            </w:r>
          </w:p>
        </w:tc>
        <w:tc>
          <w:tcPr>
            <w:tcW w:type="dxa" w:w="4536"/>
          </w:tcPr>
          <w:p>
            <w:r>
              <w:rPr>
                <w:rFonts w:ascii="Times New Roman" w:hAnsi="Times New Roman"/>
                <w:sz w:val="20"/>
              </w:rPr>
              <w:t>2.560,00 EUR</w:t>
            </w:r>
          </w:p>
        </w:tc>
      </w:tr>
      <w:tr>
        <w:trPr>
          <w:cantSplit/>
        </w:trPr>
        <w:tc>
          <w:tcPr>
            <w:tcW w:type="dxa" w:w="4536"/>
          </w:tcPr>
          <w:p>
            <w:r>
              <w:rPr>
                <w:rFonts w:ascii="Times New Roman" w:hAnsi="Times New Roman"/>
                <w:sz w:val="20"/>
              </w:rPr>
              <w:t>Hausgeld-Rückstände</w:t>
            </w:r>
          </w:p>
        </w:tc>
        <w:tc>
          <w:tcPr>
            <w:tcW w:type="dxa" w:w="4536"/>
          </w:tcPr>
          <w:p>
            <w:r>
              <w:rPr>
                <w:rFonts w:ascii="Times New Roman" w:hAnsi="Times New Roman"/>
                <w:sz w:val="20"/>
              </w:rPr>
              <w:t>0,00 EUR</w:t>
            </w:r>
          </w:p>
        </w:tc>
      </w:tr>
      <w:tr>
        <w:trPr>
          <w:cantSplit/>
        </w:trPr>
        <w:tc>
          <w:tcPr>
            <w:tcW w:type="dxa" w:w="4536"/>
          </w:tcPr>
          <w:p>
            <w:r>
              <w:rPr>
                <w:rFonts w:ascii="Times New Roman" w:hAnsi="Times New Roman"/>
                <w:sz w:val="20"/>
              </w:rPr>
              <w:t>Erhaltungsrücklage gesamt WEG per 31.12.2025</w:t>
            </w:r>
          </w:p>
        </w:tc>
        <w:tc>
          <w:tcPr>
            <w:tcW w:type="dxa" w:w="4536"/>
          </w:tcPr>
          <w:p>
            <w:r>
              <w:rPr>
                <w:rFonts w:ascii="Times New Roman" w:hAnsi="Times New Roman"/>
                <w:sz w:val="20"/>
              </w:rPr>
              <w:t>118.450,00 EUR</w:t>
            </w:r>
          </w:p>
        </w:tc>
      </w:tr>
      <w:tr>
        <w:trPr>
          <w:cantSplit/>
        </w:trPr>
        <w:tc>
          <w:tcPr>
            <w:tcW w:type="dxa" w:w="4536"/>
          </w:tcPr>
          <w:p>
            <w:r>
              <w:rPr>
                <w:rFonts w:ascii="Times New Roman" w:hAnsi="Times New Roman"/>
                <w:sz w:val="20"/>
              </w:rPr>
              <w:t>Anteil WE Nr. 9 an Erhaltungsrücklage (39,20/1.000)</w:t>
            </w:r>
          </w:p>
        </w:tc>
        <w:tc>
          <w:tcPr>
            <w:tcW w:type="dxa" w:w="4536"/>
          </w:tcPr>
          <w:p>
            <w:r>
              <w:rPr>
                <w:rFonts w:ascii="Times New Roman" w:hAnsi="Times New Roman"/>
                <w:sz w:val="20"/>
              </w:rPr>
              <w:t>4.643,24 EUR</w:t>
            </w:r>
          </w:p>
        </w:tc>
      </w:tr>
    </w:tbl>
    <w:p>
      <w:pPr>
        <w:jc w:val="left"/>
      </w:pPr>
      <w:r>
        <w:t xml:space="preserve">Zur </w:t>
      </w:r>
      <w:r>
        <w:rPr>
          <w:b/>
        </w:rPr>
        <w:t>Sonderumlage</w:t>
      </w:r>
      <w:r>
        <w:t xml:space="preserve"> für Steigleitungen und Dachentwässerung: Aus den WEG-Versammlungsprotokollen ergibt sich, dass eine solche Sonderumlage im Raum steht. Ein Beschluss ist nach meiner Kenntnis noch nicht gefasst worden. Ich habe den WEG-Verwalter, Herrn Marcus Dreyer, Eppendorfer Immobilienverwaltung GmbH, mit Schreiben vom 20.05.2026 um Bestätigung gebeten. Eine Antwort steht noch aus.</w:t>
      </w:r>
    </w:p>
    <w:p/>
    <w:p>
      <w:pPr>
        <w:pStyle w:val="Heading2"/>
      </w:pPr>
      <w:r>
        <w:rPr>
          <w:rFonts w:ascii="Times New Roman" w:hAnsi="Times New Roman"/>
        </w:rPr>
        <w:t>IV. Verfahrenskosten der Zwangsverwaltung (71 L 44/25)</w:t>
      </w:r>
    </w:p>
    <w:tbl>
      <w:tblPr>
        <w:tblStyle w:val="TableGrid"/>
        <w:tblW w:type="auto" w:w="0"/>
        <w:tblLook w:firstColumn="1" w:firstRow="1" w:lastColumn="0" w:lastRow="0" w:noHBand="0" w:noVBand="1" w:val="04A0"/>
      </w:tblPr>
      <w:tblGrid>
        <w:gridCol w:w="4536"/>
        <w:gridCol w:w="4536"/>
      </w:tblGrid>
      <w:tr>
        <w:trPr>
          <w:cantSplit/>
        </w:trP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rPr>
          <w:cantSplit/>
        </w:trPr>
        <w:tc>
          <w:tcPr>
            <w:tcW w:type="dxa" w:w="4536"/>
          </w:tcPr>
          <w:p>
            <w:r>
              <w:rPr>
                <w:rFonts w:ascii="Times New Roman" w:hAnsi="Times New Roman"/>
                <w:sz w:val="20"/>
              </w:rPr>
              <w:t>Verwalterhonorar Nov. 2025 – Mai 2026 (7 × 900,00 EUR pauschal)</w:t>
            </w:r>
          </w:p>
        </w:tc>
        <w:tc>
          <w:tcPr>
            <w:tcW w:type="dxa" w:w="4536"/>
          </w:tcPr>
          <w:p>
            <w:r>
              <w:rPr>
                <w:rFonts w:ascii="Times New Roman" w:hAnsi="Times New Roman"/>
                <w:sz w:val="20"/>
              </w:rPr>
              <w:t>6.300,00 EUR</w:t>
            </w:r>
          </w:p>
        </w:tc>
      </w:tr>
      <w:tr>
        <w:trPr>
          <w:cantSplit/>
        </w:trPr>
        <w:tc>
          <w:tcPr>
            <w:tcW w:type="dxa" w:w="4536"/>
          </w:tcPr>
          <w:p>
            <w:r>
              <w:rPr>
                <w:rFonts w:ascii="Times New Roman" w:hAnsi="Times New Roman"/>
                <w:sz w:val="20"/>
              </w:rPr>
              <w:t>Auslagen (Porto, Kopien, Fahrten)</w:t>
            </w:r>
          </w:p>
        </w:tc>
        <w:tc>
          <w:tcPr>
            <w:tcW w:type="dxa" w:w="4536"/>
          </w:tcPr>
          <w:p>
            <w:r>
              <w:rPr>
                <w:rFonts w:ascii="Times New Roman" w:hAnsi="Times New Roman"/>
                <w:sz w:val="20"/>
              </w:rPr>
              <w:t>312,40 EUR</w:t>
            </w:r>
          </w:p>
        </w:tc>
      </w:tr>
      <w:tr>
        <w:trPr>
          <w:cantSplit/>
        </w:trPr>
        <w:tc>
          <w:tcPr>
            <w:tcW w:type="dxa" w:w="4536"/>
          </w:tcPr>
          <w:p>
            <w:r>
              <w:rPr>
                <w:rFonts w:ascii="Times New Roman" w:hAnsi="Times New Roman"/>
                <w:sz w:val="20"/>
              </w:rPr>
              <w:t>Steuerberaterkosten für Einnahmen-Überschuss-Rechnung 2025</w:t>
            </w:r>
          </w:p>
        </w:tc>
        <w:tc>
          <w:tcPr>
            <w:tcW w:type="dxa" w:w="4536"/>
          </w:tcPr>
          <w:p>
            <w:r>
              <w:rPr>
                <w:rFonts w:ascii="Times New Roman" w:hAnsi="Times New Roman"/>
                <w:sz w:val="20"/>
              </w:rPr>
              <w:t>620,00 EUR</w:t>
            </w:r>
          </w:p>
        </w:tc>
      </w:tr>
      <w:tr>
        <w:trPr>
          <w:cantSplit/>
        </w:trPr>
        <w:tc>
          <w:tcPr>
            <w:tcW w:type="dxa" w:w="4536"/>
          </w:tcPr>
          <w:p>
            <w:r>
              <w:rPr>
                <w:rFonts w:ascii="Times New Roman" w:hAnsi="Times New Roman"/>
                <w:b/>
                <w:sz w:val="20"/>
              </w:rPr>
              <w:t>Summe Verwalterkosten (Schätzung)</w:t>
            </w:r>
          </w:p>
        </w:tc>
        <w:tc>
          <w:tcPr>
            <w:tcW w:type="dxa" w:w="4536"/>
          </w:tcPr>
          <w:p>
            <w:r>
              <w:rPr>
                <w:rFonts w:ascii="Times New Roman" w:hAnsi="Times New Roman"/>
                <w:b/>
                <w:sz w:val="20"/>
              </w:rPr>
              <w:t>7.232,40 EUR</w:t>
            </w:r>
          </w:p>
        </w:tc>
      </w:tr>
    </w:tbl>
    <w:p>
      <w:pPr>
        <w:jc w:val="left"/>
      </w:pPr>
      <w:r>
        <w:t>Die Kosten der Zwangsverwaltung sind aus den Mieteinnahmen bestritten worden und werden im Schluss-Rechnungsabschluss nach Beendigung der Zwangsverwaltung vollständig ausgewiesen. Der Überschuss nach Abzug aller Kosten beträgt vorläufig ca. 31.450,00 EUR und wird gemäß Paragraf 155 ZVG zur Tilgung der betreibenden Gläubigerforderung verwendet.</w:t>
      </w:r>
    </w:p>
    <w:p/>
    <w:p>
      <w:pPr>
        <w:pStyle w:val="Heading2"/>
      </w:pPr>
      <w:r>
        <w:rPr>
          <w:rFonts w:ascii="Times New Roman" w:hAnsi="Times New Roman"/>
        </w:rPr>
        <w:t>V. Zustand des Objekts</w:t>
      </w:r>
    </w:p>
    <w:p>
      <w:pPr>
        <w:jc w:val="left"/>
      </w:pPr>
      <w:r>
        <w:t>Die Außenbesichtigung des Gebäudes ergibt ein ordentliches Erscheinungsbild. Das Haus ist um 1890 erbaut, das Dachgeschoss wurde um 1994 ausgebaut. An der Fassade sind kleinere Putzschäden im Bereich des 3. Obergeschosses links sichtbar. Das Treppenhaus befindet sich nach Inaugenscheinnahme der Eingangstür im durchschnittlichen Erhaltungszustand; der Briefkastenanlagenbereich ist gepflegt.</w:t>
      </w:r>
    </w:p>
    <w:p>
      <w:pPr>
        <w:jc w:val="left"/>
      </w:pPr>
      <w:r>
        <w:t>Eine Innenbesichtigung der WE Nr. 9 wurde vom Mieter nicht gestattet. Ich empfehle, dies im Gutachten und in den Bekanntmachungsunterlagen deutlich auszuweisen.</w:t>
      </w:r>
    </w:p>
    <w:p/>
    <w:p>
      <w:pPr>
        <w:pStyle w:val="Heading2"/>
      </w:pPr>
      <w:r>
        <w:rPr>
          <w:rFonts w:ascii="Times New Roman" w:hAnsi="Times New Roman"/>
        </w:rPr>
        <w:t>VI. Zusammenfassung für das Vollstreckungsgericht</w:t>
      </w:r>
    </w:p>
    <w:tbl>
      <w:tblPr>
        <w:tblStyle w:val="TableGrid"/>
        <w:tblW w:type="auto" w:w="0"/>
        <w:tblLook w:firstColumn="1" w:firstRow="1" w:lastColumn="0" w:lastRow="0" w:noHBand="0" w:noVBand="1" w:val="04A0"/>
      </w:tblPr>
      <w:tblGrid>
        <w:gridCol w:w="4536"/>
        <w:gridCol w:w="4536"/>
      </w:tblGrid>
      <w:tr>
        <w:trPr>
          <w:cantSplit/>
        </w:trPr>
        <w:tc>
          <w:tcPr>
            <w:tcW w:type="dxa" w:w="4536"/>
          </w:tcPr>
          <w:p>
            <w:r>
              <w:rPr>
                <w:rFonts w:ascii="Times New Roman" w:hAnsi="Times New Roman"/>
                <w:b/>
                <w:sz w:val="20"/>
              </w:rPr>
              <w:t>Sachverhalt</w:t>
            </w:r>
          </w:p>
        </w:tc>
        <w:tc>
          <w:tcPr>
            <w:tcW w:type="dxa" w:w="4536"/>
          </w:tcPr>
          <w:p>
            <w:r>
              <w:rPr>
                <w:rFonts w:ascii="Times New Roman" w:hAnsi="Times New Roman"/>
                <w:b/>
                <w:sz w:val="20"/>
              </w:rPr>
              <w:t>Status</w:t>
            </w:r>
          </w:p>
        </w:tc>
      </w:tr>
      <w:tr>
        <w:trPr>
          <w:cantSplit/>
        </w:trPr>
        <w:tc>
          <w:tcPr>
            <w:tcW w:type="dxa" w:w="4536"/>
          </w:tcPr>
          <w:p>
            <w:r>
              <w:rPr>
                <w:rFonts w:ascii="Times New Roman" w:hAnsi="Times New Roman"/>
                <w:sz w:val="20"/>
              </w:rPr>
              <w:t>Mietrückstände</w:t>
            </w:r>
          </w:p>
        </w:tc>
        <w:tc>
          <w:tcPr>
            <w:tcW w:type="dxa" w:w="4536"/>
          </w:tcPr>
          <w:p>
            <w:r>
              <w:rPr>
                <w:rFonts w:ascii="Times New Roman" w:hAnsi="Times New Roman"/>
                <w:sz w:val="20"/>
              </w:rPr>
              <w:t>Keine</w:t>
            </w:r>
          </w:p>
        </w:tc>
      </w:tr>
      <w:tr>
        <w:trPr>
          <w:cantSplit/>
        </w:trPr>
        <w:tc>
          <w:tcPr>
            <w:tcW w:type="dxa" w:w="4536"/>
          </w:tcPr>
          <w:p>
            <w:r>
              <w:rPr>
                <w:rFonts w:ascii="Times New Roman" w:hAnsi="Times New Roman"/>
                <w:sz w:val="20"/>
              </w:rPr>
              <w:t>Hausgeld-Rückstände</w:t>
            </w:r>
          </w:p>
        </w:tc>
        <w:tc>
          <w:tcPr>
            <w:tcW w:type="dxa" w:w="4536"/>
          </w:tcPr>
          <w:p>
            <w:r>
              <w:rPr>
                <w:rFonts w:ascii="Times New Roman" w:hAnsi="Times New Roman"/>
                <w:sz w:val="20"/>
              </w:rPr>
              <w:t>Keine</w:t>
            </w:r>
          </w:p>
        </w:tc>
      </w:tr>
      <w:tr>
        <w:trPr>
          <w:cantSplit/>
        </w:trPr>
        <w:tc>
          <w:tcPr>
            <w:tcW w:type="dxa" w:w="4536"/>
          </w:tcPr>
          <w:p>
            <w:r>
              <w:rPr>
                <w:rFonts w:ascii="Times New Roman" w:hAnsi="Times New Roman"/>
                <w:sz w:val="20"/>
              </w:rPr>
              <w:t>WEG-Sonderumlage</w:t>
            </w:r>
          </w:p>
        </w:tc>
        <w:tc>
          <w:tcPr>
            <w:tcW w:type="dxa" w:w="4536"/>
          </w:tcPr>
          <w:p>
            <w:r>
              <w:rPr>
                <w:rFonts w:ascii="Times New Roman" w:hAnsi="Times New Roman"/>
                <w:sz w:val="20"/>
              </w:rPr>
              <w:t>Unbekannt, Beschluss ausstehend</w:t>
            </w:r>
          </w:p>
        </w:tc>
      </w:tr>
      <w:tr>
        <w:trPr>
          <w:cantSplit/>
        </w:trPr>
        <w:tc>
          <w:tcPr>
            <w:tcW w:type="dxa" w:w="4536"/>
          </w:tcPr>
          <w:p>
            <w:r>
              <w:rPr>
                <w:rFonts w:ascii="Times New Roman" w:hAnsi="Times New Roman"/>
                <w:sz w:val="20"/>
              </w:rPr>
              <w:t>Nutzungsklärung</w:t>
            </w:r>
          </w:p>
        </w:tc>
        <w:tc>
          <w:tcPr>
            <w:tcW w:type="dxa" w:w="4536"/>
          </w:tcPr>
          <w:p>
            <w:r>
              <w:rPr>
                <w:rFonts w:ascii="Times New Roman" w:hAnsi="Times New Roman"/>
                <w:sz w:val="20"/>
              </w:rPr>
              <w:t>Unvollständig</w:t>
            </w:r>
          </w:p>
        </w:tc>
      </w:tr>
      <w:tr>
        <w:trPr>
          <w:cantSplit/>
        </w:trPr>
        <w:tc>
          <w:tcPr>
            <w:tcW w:type="dxa" w:w="4536"/>
          </w:tcPr>
          <w:p>
            <w:r>
              <w:rPr>
                <w:rFonts w:ascii="Times New Roman" w:hAnsi="Times New Roman"/>
                <w:sz w:val="20"/>
              </w:rPr>
              <w:t>Innenbesichtigung</w:t>
            </w:r>
          </w:p>
        </w:tc>
        <w:tc>
          <w:tcPr>
            <w:tcW w:type="dxa" w:w="4536"/>
          </w:tcPr>
          <w:p>
            <w:r>
              <w:rPr>
                <w:rFonts w:ascii="Times New Roman" w:hAnsi="Times New Roman"/>
                <w:sz w:val="20"/>
              </w:rPr>
              <w:t>Nicht möglich</w:t>
            </w:r>
          </w:p>
        </w:tc>
      </w:tr>
      <w:tr>
        <w:trPr>
          <w:cantSplit/>
        </w:trPr>
        <w:tc>
          <w:tcPr>
            <w:tcW w:type="dxa" w:w="4536"/>
          </w:tcPr>
          <w:p>
            <w:r>
              <w:rPr>
                <w:rFonts w:ascii="Times New Roman" w:hAnsi="Times New Roman"/>
                <w:sz w:val="20"/>
              </w:rPr>
              <w:t>Überschuss aus Zwangsverwaltung</w:t>
            </w:r>
          </w:p>
        </w:tc>
        <w:tc>
          <w:tcPr>
            <w:tcW w:type="dxa" w:w="4536"/>
          </w:tcPr>
          <w:p>
            <w:r>
              <w:rPr>
                <w:rFonts w:ascii="Times New Roman" w:hAnsi="Times New Roman"/>
                <w:sz w:val="20"/>
              </w:rPr>
              <w:t>ca. 31.450,00 EUR (vorläufig)</w:t>
            </w:r>
          </w:p>
        </w:tc>
      </w:tr>
    </w:tbl>
    <w:p>
      <w:pPr>
        <w:jc w:val="left"/>
      </w:pPr>
      <w:r>
        <w:t>Für Rückfragen stehe ich gerne zur Verfügung.</w:t>
      </w:r>
    </w:p>
    <w:p>
      <w:pPr>
        <w:jc w:val="left"/>
      </w:pPr>
      <w:r>
        <w:t>Mit freundlichen Grüßen,</w:t>
      </w:r>
    </w:p>
    <w:p>
      <w:pPr>
        <w:jc w:val="left"/>
      </w:pPr>
      <w:r>
        <w:t>Zwangsverwalter</w:t>
      </w:r>
    </w:p>
    <w:p>
      <w:pPr>
        <w:jc w:val="left"/>
      </w:pPr>
      <w:r>
        <w:t>Benderoth &amp; Kassel Immobilienverwaltung GmbH</w:t>
      </w:r>
    </w:p>
    <w:p/>
    <w:p>
      <w:pPr>
        <w:jc w:val="left"/>
      </w:pPr>
      <w:r>
        <w:rPr>
          <w:b/>
        </w:rPr>
        <w:t>Anlage:</w:t>
      </w:r>
    </w:p>
    <w:p>
      <w:pPr>
        <w:pStyle w:val="ListBullet"/>
      </w:pPr>
      <w:r>
        <w:t>Anlage 1: Mietkonto-Übersicht Jan–Mai 2026 (tabellarisch)</w:t>
      </w:r>
    </w:p>
    <w:p>
      <w:pPr>
        <w:pStyle w:val="ListBullet"/>
      </w:pPr>
      <w:r>
        <w:t>Anlage 2: Schreiben an Mieter vom 14.04.2026 und 12.05.2026</w:t>
      </w:r>
    </w:p>
    <w:p>
      <w:pPr>
        <w:pStyle w:val="ListBullet"/>
      </w:pPr>
      <w:r>
        <w:t>Anlage 3: Schreiben an WEG-Verwalter vom 20.05.2026</w:t>
      </w:r>
    </w:p>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Schuldnermitteilung des Zwangsverwalters an das Vollstreckungsgericht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Schuldnermitteilung des Zwangsverwalters an das Vollstreckungsgericht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