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Mandantenbriefing — Grewenig Immobilien Verwaltung GmbH</w:t>
      </w:r>
    </w:p>
    <w:p>
      <w:pPr>
        <w:jc w:val="left"/>
      </w:pPr>
      <w:r>
        <w:rPr>
          <w:b/>
        </w:rPr>
        <w:t>Akte:</w:t>
      </w:r>
      <w:r>
        <w:t xml:space="preserve"> MR-2026-ZV-0188</w:t>
      </w:r>
    </w:p>
    <w:p>
      <w:pPr>
        <w:jc w:val="left"/>
      </w:pPr>
      <w:r>
        <w:rPr>
          <w:b/>
        </w:rPr>
        <w:t>Kanzlei:</w:t>
      </w:r>
      <w:r>
        <w:t xml:space="preserve"> Schwingenstein Roosendaal Partner mbB Hamburg</w:t>
      </w:r>
    </w:p>
    <w:p>
      <w:pPr>
        <w:jc w:val="left"/>
      </w:pPr>
      <w:r>
        <w:rPr>
          <w:b/>
        </w:rPr>
        <w:t>Bearbeiter:</w:t>
      </w:r>
      <w:r>
        <w:t xml:space="preserve"> RA Dr. Roosendaal-Eichmueller</w:t>
      </w:r>
    </w:p>
    <w:p>
      <w:pPr>
        <w:jc w:val="left"/>
      </w:pPr>
      <w:r>
        <w:rPr>
          <w:b/>
        </w:rPr>
        <w:t>Datum Mandatserteilung:</w:t>
      </w:r>
      <w:r>
        <w:t xml:space="preserve"> 03.01.2026</w:t>
      </w:r>
    </w:p>
    <w:p>
      <w:pPr>
        <w:jc w:val="left"/>
      </w:pPr>
      <w:r>
        <w:rPr>
          <w:b/>
        </w:rPr>
        <w:t>Stichtag Memo:</w:t>
      </w:r>
      <w:r>
        <w:t xml:space="preserve"> 10.01.2026</w:t>
      </w:r>
    </w:p>
    <w:p/>
    <w:p>
      <w:pPr>
        <w:pStyle w:val="Heading2"/>
      </w:pPr>
      <w:r>
        <w:rPr>
          <w:rFonts w:ascii="Times New Roman" w:hAnsi="Times New Roman"/>
        </w:rPr>
        <w:t>Mandantin</w:t>
      </w:r>
    </w:p>
    <w:p>
      <w:pPr>
        <w:jc w:val="left"/>
      </w:pPr>
      <w:r>
        <w:rPr>
          <w:b/>
        </w:rPr>
        <w:t>Grewenig Immobilien Verwaltung GmbH</w:t>
      </w:r>
    </w:p>
    <w:p>
      <w:pPr>
        <w:jc w:val="left"/>
      </w:pPr>
      <w:r>
        <w:t>Eppendorfer Weg 218, 20251 Hamburg-Eimsbuettel</w:t>
      </w:r>
    </w:p>
    <w:p>
      <w:pPr>
        <w:jc w:val="left"/>
      </w:pPr>
      <w:r>
        <w:t>GF: Frau Anneliese Grewenig-Birkenhainer</w:t>
      </w:r>
    </w:p>
    <w:p>
      <w:pPr>
        <w:jc w:val="left"/>
      </w:pPr>
      <w:r>
        <w:t>Tel.: 040 / 44 77 18-0</w:t>
      </w:r>
    </w:p>
    <w:p>
      <w:pPr>
        <w:jc w:val="left"/>
      </w:pPr>
      <w:r>
        <w:t>E-Mail: verwaltung@grewenig-immo.de</w:t>
      </w:r>
    </w:p>
    <w:p>
      <w:pPr>
        <w:jc w:val="left"/>
      </w:pPr>
      <w:r>
        <w:t>HRB 143 022 Hamburg</w:t>
      </w:r>
    </w:p>
    <w:p>
      <w:pPr>
        <w:jc w:val="left"/>
      </w:pPr>
      <w:r>
        <w:t>Verwaltet ca. 320 Wohneinheiten im Hamburger Norden und Nordwesten. Langjährige Mandantin; bisherige Mandate umfassten Abmahnverfahren und drei Räumungsklagen.</w:t>
      </w:r>
    </w:p>
    <w:p/>
    <w:p>
      <w:pPr>
        <w:pStyle w:val="Heading2"/>
      </w:pPr>
      <w:r>
        <w:rPr>
          <w:rFonts w:ascii="Times New Roman" w:hAnsi="Times New Roman"/>
        </w:rPr>
        <w:t>Schuldner</w:t>
      </w:r>
    </w:p>
    <w:p>
      <w:pPr>
        <w:jc w:val="left"/>
      </w:pPr>
      <w:r>
        <w:rPr>
          <w:b/>
        </w:rPr>
        <w:t>Heinrich Pohlmann-Tannenberg</w:t>
      </w:r>
      <w:r>
        <w:t xml:space="preserve"> (geb. 14.03.1977, Hamburg)</w:t>
      </w:r>
    </w:p>
    <w:p>
      <w:pPr>
        <w:jc w:val="left"/>
      </w:pPr>
      <w:r>
        <w:t>Selbstständiger Trockenbauer, Einzelgewerbe „Pohlmann-Tannenberg Trockenausbau"</w:t>
      </w:r>
    </w:p>
    <w:p>
      <w:pPr>
        <w:jc w:val="left"/>
      </w:pPr>
      <w:r>
        <w:t>In finanzieller Schieflage seit Q3/2025: Auftragsrückgang, offene Handwerkerrechnungen.</w:t>
      </w:r>
    </w:p>
    <w:p>
      <w:pPr>
        <w:jc w:val="left"/>
      </w:pPr>
      <w:r>
        <w:t>Sozialversicherungsstatus: selbstständig; GRV-freiwillig versichert.</w:t>
      </w:r>
    </w:p>
    <w:p>
      <w:pPr>
        <w:jc w:val="left"/>
      </w:pPr>
      <w:r>
        <w:rPr>
          <w:b/>
        </w:rPr>
        <w:t>Carmen Pohlmann-Tannenberg geb. Sieverding</w:t>
      </w:r>
      <w:r>
        <w:t xml:space="preserve"> (geb. 22.07.1981, Kiel)</w:t>
      </w:r>
    </w:p>
    <w:p>
      <w:pPr>
        <w:jc w:val="left"/>
      </w:pPr>
      <w:r>
        <w:t>Angestellte Lehrerin an der Stadtteilschule Lutterothstrasse Hamburg</w:t>
      </w:r>
    </w:p>
    <w:p>
      <w:pPr>
        <w:jc w:val="left"/>
      </w:pPr>
      <w:r>
        <w:t>Dienststelle: Freie und Hansestadt Hamburg, Behörde für Schule und Berufsbildung</w:t>
      </w:r>
    </w:p>
    <w:p>
      <w:pPr>
        <w:jc w:val="left"/>
      </w:pPr>
      <w:r>
        <w:t>Personalstelle: Hamburg Personal-Service-Zentrum (PSZ), Steckelhoeern 12, 20457 Hamburg</w:t>
      </w:r>
    </w:p>
    <w:p>
      <w:pPr>
        <w:jc w:val="left"/>
      </w:pPr>
      <w:r>
        <w:t>Nettolohn ca. 3.280 EUR/Monat (Entgeltgruppe TV-L E 13 Stufe 4, Teilzeit 85 %)</w:t>
      </w:r>
    </w:p>
    <w:p>
      <w:pPr>
        <w:jc w:val="left"/>
      </w:pPr>
      <w:r>
        <w:t xml:space="preserve">Gemeinsame Tochter: </w:t>
      </w:r>
      <w:r>
        <w:rPr>
          <w:b/>
        </w:rPr>
        <w:t>Hilde Pohlmann-Tannenberg</w:t>
      </w:r>
      <w:r>
        <w:t xml:space="preserve"> (geb. 17.04.2018, 7 Jahre); schwer erkrankt (Einzelheiten s. Aktenstück 09 Schuldnerschutzantrag).</w:t>
      </w:r>
    </w:p>
    <w:p>
      <w:pPr>
        <w:jc w:val="left"/>
      </w:pPr>
      <w:r>
        <w:t xml:space="preserve">Mietobjekt: </w:t>
      </w:r>
      <w:r>
        <w:rPr>
          <w:b/>
        </w:rPr>
        <w:t>Eppendorfer Weg 188, 1. OG links, 20251 Hamburg-Eimsbuettel</w:t>
      </w:r>
    </w:p>
    <w:p>
      <w:pPr>
        <w:jc w:val="left"/>
      </w:pPr>
      <w:r>
        <w:t>Mietbeginn: 01.09.2013; Kaltmiete zuletzt 1.240 EUR/Monat + 280 EUR Nebenkosten-Vorauszahlung.</w:t>
      </w:r>
    </w:p>
    <w:p/>
    <w:p>
      <w:pPr>
        <w:pStyle w:val="Heading2"/>
      </w:pPr>
      <w:r>
        <w:rPr>
          <w:rFonts w:ascii="Times New Roman" w:hAnsi="Times New Roman"/>
        </w:rPr>
        <w:t>Sachverhalt Kurzfassung</w:t>
      </w:r>
    </w:p>
    <w:p>
      <w:pPr>
        <w:jc w:val="left"/>
      </w:pPr>
      <w:r>
        <w:t>Die Schuldner sind seit März 2025 mit der Miete in Verzug. Trotz mehrfacher Abmahnung und Kündigungen (fristlos 15.05.2025 und fristgemaess 15.06.2025) verblieben sie in der Wohnung. Die Räumungsklage wurde erhoben (AG Hamburg-Altona 188 C 4711/25).</w:t>
      </w:r>
    </w:p>
    <w:p>
      <w:pPr>
        <w:jc w:val="left"/>
      </w:pPr>
      <w:r>
        <w:t>Das Urteil vom 12.11.2025 tituliert:</w:t>
      </w:r>
    </w:p>
    <w:p>
      <w:pPr>
        <w:pStyle w:val="ListBullet"/>
      </w:pPr>
      <w:r>
        <w:t>Raeumung und Herausgabe der Wohnung</w:t>
      </w:r>
    </w:p>
    <w:p>
      <w:pPr>
        <w:pStyle w:val="ListBullet"/>
      </w:pPr>
      <w:r>
        <w:t>Rueckstandsmiete 14.880 EUR (12 × 1.240 EUR)</w:t>
      </w:r>
    </w:p>
    <w:p>
      <w:pPr>
        <w:pStyle w:val="ListBullet"/>
      </w:pPr>
      <w:r>
        <w:t>vorläufig vollstreckbar gegen Sicherheitsleistung 110 %</w:t>
      </w:r>
    </w:p>
    <w:p>
      <w:pPr>
        <w:jc w:val="left"/>
      </w:pPr>
      <w:r>
        <w:t>Das LG Hamburg hat die Berufung der Schuldner (308 S 14/26) mit Beschluss vom 15.03.2026 als offensichtlich unbegründet zurückgewiesen (§ 522 Abs. 2 ZPO); Urteil rechtskräftig.</w:t>
      </w:r>
    </w:p>
    <w:p>
      <w:pPr>
        <w:jc w:val="left"/>
      </w:pPr>
      <w:r>
        <w:t>Klauselerteilung gem. § 724 ZPO am 18.11.2025 durch Urkundsbeamtin des AG Hamburg-Altona.</w:t>
      </w:r>
    </w:p>
    <w:p>
      <w:pPr>
        <w:jc w:val="left"/>
      </w:pPr>
      <w:r>
        <w:t>Zustellung gem. § 750 ZPO am 22.11.2025 (Zustellungsurkunde liegt vor).</w:t>
      </w:r>
    </w:p>
    <w:p/>
    <w:p>
      <w:pPr>
        <w:pStyle w:val="Heading2"/>
      </w:pPr>
      <w:r>
        <w:rPr>
          <w:rFonts w:ascii="Times New Roman" w:hAnsi="Times New Roman"/>
        </w:rPr>
        <w:t>Vollstreckungsstand (Eingang Kanzlei 03.01.2026)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Massnahme</w:t>
            </w:r>
          </w:p>
        </w:tc>
        <w:tc>
          <w:tcPr>
            <w:tcW w:type="dxa" w:w="4536"/>
          </w:tcPr>
          <w:p>
            <w:r>
              <w:rPr>
                <w:rFonts w:ascii="Times New Roman" w:hAnsi="Times New Roman"/>
                <w:b/>
                <w:sz w:val="20"/>
              </w:rPr>
              <w:t>Status</w:t>
            </w:r>
          </w:p>
        </w:tc>
      </w:tr>
      <w:tr>
        <w:tc>
          <w:tcPr>
            <w:tcW w:type="dxa" w:w="4536"/>
          </w:tcPr>
          <w:p>
            <w:r>
              <w:rPr>
                <w:rFonts w:ascii="Times New Roman" w:hAnsi="Times New Roman"/>
                <w:sz w:val="20"/>
              </w:rPr>
              <w:t>Titel</w:t>
            </w:r>
          </w:p>
        </w:tc>
        <w:tc>
          <w:tcPr>
            <w:tcW w:type="dxa" w:w="4536"/>
          </w:tcPr>
          <w:p>
            <w:r>
              <w:rPr>
                <w:rFonts w:ascii="Times New Roman" w:hAnsi="Times New Roman"/>
                <w:sz w:val="20"/>
              </w:rPr>
              <w:t>vorliegend AG Hamburg-Altona 188 C 4711/25</w:t>
            </w:r>
          </w:p>
        </w:tc>
      </w:tr>
      <w:tr>
        <w:tc>
          <w:tcPr>
            <w:tcW w:type="dxa" w:w="4536"/>
          </w:tcPr>
          <w:p>
            <w:r>
              <w:rPr>
                <w:rFonts w:ascii="Times New Roman" w:hAnsi="Times New Roman"/>
                <w:sz w:val="20"/>
              </w:rPr>
              <w:t>Vollstreckungsklausel § 724 ZPO</w:t>
            </w:r>
          </w:p>
        </w:tc>
        <w:tc>
          <w:tcPr>
            <w:tcW w:type="dxa" w:w="4536"/>
          </w:tcPr>
          <w:p>
            <w:r>
              <w:rPr>
                <w:rFonts w:ascii="Times New Roman" w:hAnsi="Times New Roman"/>
                <w:sz w:val="20"/>
              </w:rPr>
              <w:t>erteilt 18.11.2025</w:t>
            </w:r>
          </w:p>
        </w:tc>
      </w:tr>
      <w:tr>
        <w:tc>
          <w:tcPr>
            <w:tcW w:type="dxa" w:w="4536"/>
          </w:tcPr>
          <w:p>
            <w:r>
              <w:rPr>
                <w:rFonts w:ascii="Times New Roman" w:hAnsi="Times New Roman"/>
                <w:sz w:val="20"/>
              </w:rPr>
              <w:t>Zustellung § 750 ZPO</w:t>
            </w:r>
          </w:p>
        </w:tc>
        <w:tc>
          <w:tcPr>
            <w:tcW w:type="dxa" w:w="4536"/>
          </w:tcPr>
          <w:p>
            <w:r>
              <w:rPr>
                <w:rFonts w:ascii="Times New Roman" w:hAnsi="Times New Roman"/>
                <w:sz w:val="20"/>
              </w:rPr>
              <w:t>bewirkt 22.11.2025</w:t>
            </w:r>
          </w:p>
        </w:tc>
      </w:tr>
      <w:tr>
        <w:tc>
          <w:tcPr>
            <w:tcW w:type="dxa" w:w="4536"/>
          </w:tcPr>
          <w:p>
            <w:r>
              <w:rPr>
                <w:rFonts w:ascii="Times New Roman" w:hAnsi="Times New Roman"/>
                <w:sz w:val="20"/>
              </w:rPr>
              <w:t>Räumungsauftrag GV</w:t>
            </w:r>
          </w:p>
        </w:tc>
        <w:tc>
          <w:tcPr>
            <w:tcW w:type="dxa" w:w="4536"/>
          </w:tcPr>
          <w:p>
            <w:r>
              <w:rPr>
                <w:rFonts w:ascii="Times New Roman" w:hAnsi="Times New Roman"/>
                <w:sz w:val="20"/>
              </w:rPr>
              <w:t>noch nicht gestellt</w:t>
            </w:r>
          </w:p>
        </w:tc>
      </w:tr>
      <w:tr>
        <w:tc>
          <w:tcPr>
            <w:tcW w:type="dxa" w:w="4536"/>
          </w:tcPr>
          <w:p>
            <w:r>
              <w:rPr>
                <w:rFonts w:ascii="Times New Roman" w:hAnsi="Times New Roman"/>
                <w:sz w:val="20"/>
              </w:rPr>
              <w:t>PfUEB Carmen (Drittschuldner Stadt Hamburg)</w:t>
            </w:r>
          </w:p>
        </w:tc>
        <w:tc>
          <w:tcPr>
            <w:tcW w:type="dxa" w:w="4536"/>
          </w:tcPr>
          <w:p>
            <w:r>
              <w:rPr>
                <w:rFonts w:ascii="Times New Roman" w:hAnsi="Times New Roman"/>
                <w:sz w:val="20"/>
              </w:rPr>
              <w:t>noch nicht beantragt</w:t>
            </w:r>
          </w:p>
        </w:tc>
      </w:tr>
      <w:tr>
        <w:tc>
          <w:tcPr>
            <w:tcW w:type="dxa" w:w="4536"/>
          </w:tcPr>
          <w:p>
            <w:r>
              <w:rPr>
                <w:rFonts w:ascii="Times New Roman" w:hAnsi="Times New Roman"/>
                <w:sz w:val="20"/>
              </w:rPr>
              <w:t>Kontopfändung § 802l ZPO</w:t>
            </w:r>
          </w:p>
        </w:tc>
        <w:tc>
          <w:tcPr>
            <w:tcW w:type="dxa" w:w="4536"/>
          </w:tcPr>
          <w:p>
            <w:r>
              <w:rPr>
                <w:rFonts w:ascii="Times New Roman" w:hAnsi="Times New Roman"/>
                <w:sz w:val="20"/>
              </w:rPr>
              <w:t>Konten noch nicht ermittelt</w:t>
            </w:r>
          </w:p>
        </w:tc>
      </w:tr>
      <w:tr>
        <w:tc>
          <w:tcPr>
            <w:tcW w:type="dxa" w:w="4536"/>
          </w:tcPr>
          <w:p>
            <w:r>
              <w:rPr>
                <w:rFonts w:ascii="Times New Roman" w:hAnsi="Times New Roman"/>
                <w:sz w:val="20"/>
              </w:rPr>
              <w:t>Vermögensauskunft § 802c ZPO</w:t>
            </w:r>
          </w:p>
        </w:tc>
        <w:tc>
          <w:tcPr>
            <w:tcW w:type="dxa" w:w="4536"/>
          </w:tcPr>
          <w:p>
            <w:r>
              <w:rPr>
                <w:rFonts w:ascii="Times New Roman" w:hAnsi="Times New Roman"/>
                <w:sz w:val="20"/>
              </w:rPr>
              <w:t>Termin noch nicht anberaumt</w:t>
            </w:r>
          </w:p>
        </w:tc>
      </w:tr>
    </w:tbl>
    <w:p/>
    <w:p>
      <w:pPr>
        <w:pStyle w:val="Heading2"/>
      </w:pPr>
      <w:r>
        <w:rPr>
          <w:rFonts w:ascii="Times New Roman" w:hAnsi="Times New Roman"/>
        </w:rPr>
        <w:t>Mandate / Vollmacht</w:t>
      </w:r>
    </w:p>
    <w:p>
      <w:pPr>
        <w:jc w:val="left"/>
      </w:pPr>
      <w:r>
        <w:t>Schriftliche Vollmacht Frau Grewenig-Birkenhainer vom 03.01.2026 liegt vor.</w:t>
      </w:r>
    </w:p>
    <w:p>
      <w:pPr>
        <w:jc w:val="left"/>
      </w:pPr>
      <w:r>
        <w:t>Aufgabe: Vollständige Vollstreckung — Raeumung und Zahlungsvollstreckung parallel.</w:t>
      </w:r>
    </w:p>
    <w:p>
      <w:pPr>
        <w:jc w:val="left"/>
      </w:pPr>
      <w:r>
        <w:t>Kostentragung: Mandantin trägt Vollstreckungskosten vor; Erstattung im Zuge der Vollstreckung.</w:t>
      </w:r>
    </w:p>
    <w:p/>
    <w:p>
      <w:pPr>
        <w:pStyle w:val="Heading2"/>
      </w:pPr>
      <w:r>
        <w:rPr>
          <w:rFonts w:ascii="Times New Roman" w:hAnsi="Times New Roman"/>
        </w:rPr>
        <w:t>Prioritätenliste (erste Besprechung)</w:t>
      </w:r>
    </w:p>
    <w:p>
      <w:pPr>
        <w:pStyle w:val="ListNumber"/>
      </w:pPr>
      <w:r>
        <w:t>Raeumung schnellstmöglich: Berliner Raeumung § 885 ZPO prüfen (Kostenoptimierung)</w:t>
      </w:r>
    </w:p>
    <w:p>
      <w:pPr>
        <w:pStyle w:val="ListNumber"/>
      </w:pPr>
      <w:r>
        <w:t>Lohnpfändung Carmen (sicheres Einkommen Drittschuldner Stadt Hamburg)</w:t>
      </w:r>
    </w:p>
    <w:p>
      <w:pPr>
        <w:pStyle w:val="ListNumber"/>
      </w:pPr>
      <w:r>
        <w:t>Kontopfändung Heinrich (Sparda Hamburg als vermutete Hausbank)</w:t>
      </w:r>
    </w:p>
    <w:p>
      <w:pPr>
        <w:pStyle w:val="ListNumber"/>
      </w:pPr>
      <w:r>
        <w:t>Vermögensauskunft für Heinrich (Gewerbeeinkommen schwer nachzuvollziehen)</w:t>
      </w:r>
    </w:p>
    <w:p>
      <w:pPr>
        <w:pStyle w:val="ListNumber"/>
      </w:pPr>
      <w:r>
        <w:t>Schuldnerschutzantrag der Schuldner § 765a ZPO auf dem Radar — Tochter Hilde krank</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Grewenig Immobilien 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Grewenig Immobilien Verwaltung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