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Klotzkette Rechtsanwaltsgesellschaft mbH</w:t>
      </w:r>
    </w:p>
    <w:p>
      <w:pPr>
        <w:jc w:val="left"/>
      </w:pPr>
      <w:r>
        <w:t>Fachanwalt für Arbeitsrecht — RA Dr. Jonas Reuß</w:t>
      </w:r>
    </w:p>
    <w:p>
      <w:pPr>
        <w:jc w:val="left"/>
      </w:pPr>
      <w:r>
        <w:t>Interner Aktenvermerk — nicht zur Weiterleitung an die Gegenseite</w:t>
      </w:r>
    </w:p>
    <w:p>
      <w:pPr>
        <w:jc w:val="left"/>
      </w:pPr>
      <w:r>
        <w:t>Format-Hinweis für den Export: Times New Roman, 11 pt, dezimale Gliederung.</w:t>
      </w:r>
    </w:p>
    <w:p>
      <w:pPr>
        <w:jc w:val="left"/>
      </w:pPr>
      <w:r>
        <w:t>Mandat: Dr. Annika Körber ./. Steinhoff Präzisionsguss SE</w:t>
      </w:r>
    </w:p>
    <w:p>
      <w:pPr>
        <w:jc w:val="left"/>
      </w:pPr>
      <w:r>
        <w:t>Gegenstand: Weiterbeschäftigungsmöglichkeit und Sozialdatenvergleich der AT-Führungskräfte</w:t>
      </w:r>
    </w:p>
    <w:p>
      <w:pPr>
        <w:jc w:val="left"/>
      </w:pPr>
      <w:r>
        <w:t>Datum: 05.06.2025</w:t>
      </w:r>
    </w:p>
    <w:p>
      <w:pPr>
        <w:pStyle w:val="ListNumber"/>
      </w:pPr>
      <w:r>
        <w:t>Anlass</w:t>
      </w:r>
    </w:p>
    <w:p>
      <w:pPr>
        <w:jc w:val="left"/>
      </w:pPr>
      <w:r>
        <w:t>Die Kündigung vom 22.05.2025 wird primär personenbedingt und hilfsweise betriebsbedingt begründet. Die betriebsbedingte Begründung stützt sich auf die vollständige Schließung des Standorts Eberswalde zum 31.12.2025 und behauptet, es bestehe keine anderweitige Beschäftigungsmöglichkeit im Konzern; eine Sozialauswahl sei bei vollständiger Betriebsstilllegung nicht durchzuführen. Dieser Vermerk prüft, ob diese Darstellung mit der Aktenlage übereinstimmt, und bereitet den entsprechenden Klagevortrag vor.</w:t>
      </w:r>
    </w:p>
    <w:p>
      <w:pPr>
        <w:pStyle w:val="ListNumber"/>
      </w:pPr>
      <w:r>
        <w:t>Rechtlicher Ausgangspunkt</w:t>
      </w:r>
    </w:p>
    <w:p>
      <w:pPr>
        <w:jc w:val="left"/>
      </w:pPr>
      <w:r>
        <w:t>2.1 Es trifft im Ausgangspunkt zu, dass bei einer vollständigen Stilllegung des gesamten Betriebs eine Sozialauswahl nach § 1 Abs. 3 KSchG grundsätzlich entfällt, weil sämtliche vergleichbaren Arbeitsplätze wegfallen.</w:t>
      </w:r>
    </w:p>
    <w:p>
      <w:pPr>
        <w:jc w:val="left"/>
      </w:pPr>
      <w:r>
        <w:t>2.2 Davon zu trennen ist jedoch die Weiterbeschäftigungspflicht nach § 1 Abs. 2 Satz 2 KSchG. Besteht in demselben Unternehmen oder — bei konzernbezogener Zusage oder tatsächlicher standortübergreifender Einsatzpraxis — in einem anderen Betrieb des Konzerns ein freier vergleichbarer Arbeitsplatz, ist die Kündigung sozialwidrig, wenn der Arbeitgeber diesen Arbeitsplatz nicht anbietet. Die Mandantin war von 2018 bis 2021 gerade in einer konzernweiten Funktion mit Sitz Salzgitter eingesetzt; die standortübergreifende Verwendbarkeit ist damit aktenkundig belegt.</w:t>
      </w:r>
    </w:p>
    <w:p>
      <w:pPr>
        <w:jc w:val="left"/>
      </w:pPr>
      <w:r>
        <w:t>2.3 Für den Fall, dass das Gericht eine (modifizierte) Auswahlbetrachtung unter den verbliebenen AT-Führungskräften anstellt, ist ergänzend darzulegen, dass die sozialen Schutzkriterien der Mandantin diejenigen der weiterbeschäftigten Vergleichspersonen deutlich übersteigen.</w:t>
      </w:r>
    </w:p>
    <w:p>
      <w:pPr>
        <w:pStyle w:val="ListNumber"/>
      </w:pPr>
      <w:r>
        <w:t>Datenauswertung (Anlage: 23_sozialdaten_at_fuehrungskraefte_matrix.csv)</w:t>
      </w:r>
    </w:p>
    <w:p>
      <w:pPr>
        <w:jc w:val="left"/>
      </w:pPr>
      <w:r>
        <w:t>3.1 Die Matrix erfasst die Mandantin sowie drei vergleichbare, weiterbeschäftigte AT-Führungskräfte an den fortbestehenden Standorten. Die Sozialpunkte wurden nach dem in der Rechtsprechung als Orientierung anerkannten Schema gebildet: ein Punkt je Jahr Betriebszugehörigkeit, ein Punkt je vollendete fünf Lebensjahre ab dem 30. Lebensjahr, ein Punkt für Ehegattenunterhalt, zwei Punkte je unterhaltsberechtigtem Kind, Zusatzpunkt für Schwerbehinderung erst ab einem Grad der Behinderung von 50.</w:t>
      </w:r>
    </w:p>
    <w:p>
      <w:pPr>
        <w:jc w:val="left"/>
      </w:pPr>
      <w:r>
        <w:t>3.2 Ergebnis der Nachrechnung:</w:t>
      </w:r>
    </w:p>
    <w:p>
      <w:pPr>
        <w:jc w:val="left"/>
      </w:pPr>
      <w:r>
        <w:t>Dr. Annika Körber (Eberswalde, gekündigt): dreizehn Punkte Betriebszugehörigkeit, drei Punkte Lebensalter, ein Punkt Ehegatte, vier Punkte für zwei Kinder — Summe einundzwanzig Punkte.</w:t>
      </w:r>
    </w:p>
    <w:p>
      <w:pPr>
        <w:jc w:val="left"/>
      </w:pPr>
      <w:r>
        <w:t>Frank Imholz (Salzgitter, weiterbeschäftigt): Summe zehn Punkte.</w:t>
      </w:r>
    </w:p>
    <w:p>
      <w:pPr>
        <w:jc w:val="left"/>
      </w:pPr>
      <w:r>
        <w:t>Till Weigand (Bautzen, weiterbeschäftigt): Summe fünfzehn Punkte.</w:t>
      </w:r>
    </w:p>
    <w:p>
      <w:pPr>
        <w:jc w:val="left"/>
      </w:pPr>
      <w:r>
        <w:t>Cornelius Ruhland (Salzgitter, in die Linie gewechselt, weiterbeschäftigt; die von ihm zuvor besetzte Konzernfunktion ist vakant): Summe zehn Punkte.</w:t>
      </w:r>
    </w:p>
    <w:p>
      <w:pPr>
        <w:jc w:val="left"/>
      </w:pPr>
      <w:r>
        <w:t>3.3 Die Mandantin erreicht mit einundzwanzig Punkten den mit Abstand höchsten Sozialschutz, wird aber als einzige der vier Führungskräfte gekündigt, während alle drei sozial schwächer gestellten Vergleichspersonen weiterbeschäftigt werden.</w:t>
      </w:r>
    </w:p>
    <w:p>
      <w:pPr>
        <w:pStyle w:val="ListNumber"/>
      </w:pPr>
      <w:r>
        <w:t>Diskrepanz zwischen Kündigungsvortrag und Aktenlage</w:t>
      </w:r>
    </w:p>
    <w:p>
      <w:pPr>
        <w:jc w:val="left"/>
      </w:pPr>
      <w:r>
        <w:t>4.1 Die Kündigung behauptet, es gebe keine anderweitige Beschäftigungsmöglichkeit im Konzern. Dem stehen entgegen: die interne E-Mail des Personalleiters Branitz an den Justiziar Kemnitz vom 06.05.2025, in der ausdrücklich eingeräumt wird, dass die frühere Funktion der Mandantin in Salzgitter "faktisch nachzubesetzen" ist und dort "eher aufgebaut als abgebaut" wird, sowie der WhatsApp-Verlauf mit dem Werkleiter Imholz vom 02.05.2025, der den offenen Status derselben Stelle bestätigt.</w:t>
      </w:r>
    </w:p>
    <w:p>
      <w:pPr>
        <w:jc w:val="left"/>
      </w:pPr>
      <w:r>
        <w:t>4.2 Die Behauptung, ein Betriebliches Eingliederungsmanagement sei nicht durchführbar gewesen (§ 167 Abs. 2 SGB IX), ist angesichts der ausdrücklichen BEM-Anfrage der Mandantin vom 29.07.2024 aktenwidrig.</w:t>
      </w:r>
    </w:p>
    <w:p>
      <w:pPr>
        <w:jc w:val="left"/>
      </w:pPr>
      <w:r>
        <w:t>4.3 Beide Punkte zusammen belegen, dass die betriebsbedingte Begründung und die personenbedingte Begründung jeweils in einem entscheidenden Punkt von der Aktenlage abweichen.</w:t>
      </w:r>
    </w:p>
    <w:p>
      <w:pPr>
        <w:pStyle w:val="ListNumber"/>
      </w:pPr>
      <w:r>
        <w:t>Empfehlung</w:t>
      </w:r>
    </w:p>
    <w:p>
      <w:pPr>
        <w:jc w:val="left"/>
      </w:pPr>
      <w:r>
        <w:t>5.1 Der Vortrag zur fehlenden Weiterbeschäftigungsmöglichkeit ist mit der Sozialdatenmatrix, der Branitz-Kemnitz-Mail und dem Imholz-Chat konkret zu bestreiten; ein Beweisantrag auf Vorlage der Stellenbesetzungsvorgänge Salzgitter (§ 142 ZPO) ist zu stellen.</w:t>
      </w:r>
    </w:p>
    <w:p>
      <w:pPr>
        <w:jc w:val="left"/>
      </w:pPr>
      <w:r>
        <w:t>5.2 Die Punktewerte sind in die Klagebegründung aufzunehmen, um die Sozialwidrigkeit auch für den Fall einer Auswahlbetrachtung zu untermauern.</w:t>
      </w:r>
    </w:p>
    <w:p>
      <w:pPr>
        <w:jc w:val="left"/>
      </w:pPr>
      <w:r>
        <w:t>RA Dr. Jonas Reuß, Klotzkette Rechtsanwaltsgesellschaft mbH, Berlin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