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Langgutachten führt die Unterlagen des Mandats von Reichenbach ./. Elektrohaus Brückner GmbH zu einer entscheidungsfähigen Prüfungsfassung zusammen. Gegenstand ist der am 18.04.2024 gekaufte vernetzte Kühlschrank VestaCool FR-900 SmartCooling (Rechnung EB-2024-44172, Gesamtpreis 3.667,00 EUR einschließlich Lieferung und Garantiepaket CarePlus 36), bei dem nach dem Firmware-Update 5.4.8 das Eiswürfelmodul ausfiel, die Temperatur im Frischefach schwankt und ein unabhängiger Reparaturversuch der Kältewerkstatt Pütz &amp; Söhne am verweigerten Diagnose-Token und am Ersatzteil-Pairing scheiterte. Die Einzelstücke der Akte — Mängelanzeige, Händlerantwort, Werkstattprotokoll, App-Meldungen, Servicepolicy — benennen jeweils Probleme, ohne den rechtlichen Gedankengang zu Ende zu führen; diese Lücke schließt das Gutachten.</w:t>
      </w:r>
    </w:p>
    <w:p>
      <w:pPr>
        <w:pStyle w:val="Heading2"/>
      </w:pPr>
      <w:r>
        <w:rPr>
          <w:rFonts w:ascii="Times New Roman" w:hAnsi="Times New Roman"/>
        </w:rPr>
        <w:t>Prüfungsprogramm</w:t>
      </w:r>
    </w:p>
    <w:p>
      <w:pPr>
        <w:jc w:val="left"/>
      </w:pPr>
      <w:r>
        <w:t>Der Fall wird entlang folgender Themen bearbeitet: Einordnung des FR-900 als Ware mit digitalen Elementen (§ 327a Abs. 3, § 475b Abs. 1 BGB), Sachmangel durch Eiswürfelmodul-Ausfall und Temperaturschwankungen (§ 434, § 475b Abs. 2 bis 4 BGB), Aktualisierungspflicht und Installationsanleitung zur Firmware 5.4.8 (§ 475b Abs. 4 Nr. 2, Abs. 5 BGB), Beweislast (§ 477 Abs. 2 BGB), Nacherfüllung mit Fristsetzung zum 31.05.2026 (§§ 437 Nr. 1, 439 BGB), Schadensersatz für entsorgte Lebensmittel und die Werkstattrechnung über 178,50 EUR (§§ 280, 437 Nr. 3 BGB), Reichweite des Garantiepakets CarePlus 36 sowie Reparaturzugang und Recht auf Reparatur. Für jedes Thema wird getrennt gefragt, ob es entscheidungsreif ist, ob Tatsachen fehlen oder ob zunächst nur ein Risikovermerk möglich ist.</w:t>
      </w:r>
    </w:p>
    <w:p>
      <w:pPr>
        <w:pStyle w:val="Heading3"/>
      </w:pPr>
      <w:r>
        <w:rPr>
          <w:rFonts w:ascii="Times New Roman" w:hAnsi="Times New Roman"/>
        </w:rPr>
        <w:t>1. Tatsachenbasis</w:t>
      </w:r>
    </w:p>
    <w:p>
      <w:pPr>
        <w:jc w:val="left"/>
      </w:pPr>
      <w:r>
        <w:t>Die Akte enthält mehrere Beweistypen. Uneingeschränkt verwertbar sind die Rechnung EB-2024-44172 vom 18.04.2024, die Bestellbestätigung mit AGB-Auszug, der Ausdruck der Händler-Produktseite vom 06.04.2024 mit der Aussage „Langfristig reparierbar: Ersatzteile und Servicezugang für bis zu 10 Jahre“, das Werkstattprotokoll von Pütz &amp; Söhne vom 03.05.2026 nebst Rechnung über 178,50 EUR sowie die E-Mail-Mängelanzeige vom 04.04.2026 und die Händlerantwort vom 22.04.2026. Nur eingeschränkt verwertbar sind die lediglich beschriebenen App-Screenshots, die undatierten Handyfotos (Display 4 Grad, Thermometer 11 Grad, Kondenswasser an der Rückwand), die Randnotiz der Mandantin zur mündlichen Zusage des Brückner-Mitarbeiters bei Lieferung und das Herstellerlog mit dem Eintrag „accepted“ vom 16.03.2026, dessen Bedeutung ungeklärt ist. Deshalb ist jede rechtliche Schlussfolgerung in diesem Gutachten mit einem Beweistyp verknüpft.</w:t>
      </w:r>
    </w:p>
    <w:p>
      <w:pPr>
        <w:jc w:val="left"/>
      </w:pPr>
      <w:r>
        <w:t>Der wichtigste Fehler wäre, einzelne Einträge für geklärt zu halten, weil sie prägnant klingen. Das Herstellerlog liest den 16.03.2026 als Installationsdatum der Firmware 5.4.8, während die Mandantin die Installation auf den Abend des 07.02.2026 datiert und die App bereits am 08.02.2026 „IceModule calibration failed“ meldete; ob „accepted“ die Installation oder nur eine Telemetrie-Rückmeldung bezeichnet, ist offen. Die Handyfotos der Temperaturanzeige sind nicht datiert; die Mandantin ordnet sie dem 24.03.2026 und dem 02.04.2026 zu. Die Bedingungen des Garantiepakets CarePlus 36 liegen nicht vor, obwohl Händler und Hersteller sich darauf berufen. Deshalb wird zunächst eine Beweismatrix geführt.</w:t>
      </w:r>
    </w:p>
    <w:p>
      <w:pPr>
        <w:pStyle w:val="Heading3"/>
      </w:pPr>
      <w:r>
        <w:rPr>
          <w:rFonts w:ascii="Times New Roman" w:hAnsi="Times New Roman"/>
        </w:rPr>
        <w:t>2. Rechtliche Hauptfrage</w:t>
      </w:r>
    </w:p>
    <w:p>
      <w:pPr>
        <w:jc w:val="left"/>
      </w:pPr>
      <w:r>
        <w:t>Die Hauptfrage ist nicht, ob ein Austauschgerät wirtschaftlich sinnvoll wäre. Die Hauptfrage lautet, ob der Nacherfüllungsanspruch der Käuferin gegen die Elektrohaus Brückner GmbH aus §§ 437 Nr. 1, 439 BGB auf der vorhandenen Tatsachengrundlage trägt und kurzfristig durchsetzbar ist. Dafür sind getrennt zu prüfen: die Passivlegitimation der Verkäuferin trotz ihres Verweises auf VestaCool, die Angemessenheit der bis zum 31.05.2026 gesetzten Frist gegenüber dem erst für den 18.06.2026 angebotenen Techniktermin, der Sachmangel nach § 434 und § 475b BGB, die Beweislastverteilung nach § 477 Abs. 2 BGB sowie die Rechtsfolgenseite einschließlich Ersatzlieferung, Minderung, Rücktritt und Schadensersatz.</w:t>
      </w:r>
    </w:p>
    <w:p>
      <w:pPr>
        <w:jc w:val="left"/>
      </w:pPr>
      <w:r>
        <w:t>Bei der Prüfung darf die Bearbeitung nicht in eine bloße Checkliste abrutschen, weil die Teilfragen voneinander abhängen. Die Einordnung als Ware mit digitalen Elementen entscheidet zugleich über die Beweislastvermutung (§ 477 Abs. 2 BGB) und die Verjährung (§ 475e BGB). Der streitige Installationszeitpunkt der Firmware 5.4.8 entscheidet darüber, ob die Verkäuferin sich auf eine unterlassene oder fehlerhafte Installation durch die Verbraucherin berufen kann (§ 475b Abs. 5 BGB) — was schon deshalb zweifelhaft ist, weil eine verständliche Installationsanleitung bislang nicht auffindbar ist. Die Token-Verweigerung gegenüber Pütz &amp; Söhne wirkt auf die Zumutbarkeit der Nacherfüllung, auf eine mögliche Ersatzvornahme und auf die Bewertung des Werbeversprechens zur Reparierbarkeit zurück.</w:t>
      </w:r>
    </w:p>
    <w:p>
      <w:pPr>
        <w:pStyle w:val="Heading3"/>
      </w:pPr>
      <w:r>
        <w:rPr>
          <w:rFonts w:ascii="Times New Roman" w:hAnsi="Times New Roman"/>
        </w:rPr>
        <w:t>3. Subsumtion nach Aktenstand</w:t>
      </w:r>
    </w:p>
    <w:p>
      <w:pPr>
        <w:jc w:val="left"/>
      </w:pPr>
      <w:r>
        <w:t>Nach derzeitigem Stand spricht vieles für einen durchsetzbaren Nacherfüllungsanspruch gegen die Verkäuferin. Die stärkste Position ergibt sich aus Unterlagen, die vor dem Konflikt entstanden sind: dem Produktseiten-Ausdruck vom 06.04.2024 mit dem Reparierbarkeitsversprechen, der Rechnung mit dem Garantiepaket CarePlus 36 und der App-Meldung vom 08.02.2026 unmittelbar nach dem von der Mandantin geschilderten Update. Schwächer sind Dokumente, die erkennbar erst nach Streitbeginn formuliert wurden, insbesondere die Händlerantwort vom 22.04.2026 und die Hersteller-Servicepolicy mit Stand vom 15.05.2026, die Kompressor, Sensorboard und Eiswürfelmodul pauschal zu sicherheitsrelevanten Baugruppen erklärt.</w:t>
      </w:r>
    </w:p>
    <w:p>
      <w:pPr>
        <w:jc w:val="left"/>
      </w:pPr>
      <w:r>
        <w:t>Die Bearbeitung muss deshalb drei Ebenen unterscheiden:</w:t>
      </w:r>
    </w:p>
    <w:p>
      <w:pPr>
        <w:pStyle w:val="ListBullet"/>
      </w:pPr>
      <w:r>
        <w:t>sichere Tatsachen: Kauf am 18.04.2024 zum Gesamtpreis von 3.667,00 EUR (Rechnung EB-2024-44172), Verfügbarkeit der Firmware 5.4.8 ab dem 03.02.2026, App-Meldung „IceModule calibration failed“ am 08.02.2026, notierte 12 Grad im Frischefach am 24.03.2026 um 07:20 Uhr, Mängelanzeige vom 04.04.2026, Token-Verweigerung am 03.05.2026 laut Werkstattprotokoll, Rechnung Pütz &amp; Söhne über 178,50 EUR;</w:t>
      </w:r>
    </w:p>
    <w:p>
      <w:pPr>
        <w:pStyle w:val="ListBullet"/>
      </w:pPr>
      <w:r>
        <w:t>plausible, aber offene Tatsachen: Installationszeitpunkt des Updates (07.02.2026 laut Mandantin, 16.03.2026 laut Herstellerlog), Ursachenzusammenhang zwischen Firmware 5.4.8 und den Ausfällen von Eiswürfelmodul und Temperatursteuerung, Inhalt der CarePlus-36-Bedingungen, mündliche Zusage des Brückner-Mitarbeiters zur freien Werkstattwahl, Umfang der entsorgten Lebensmittel;</w:t>
      </w:r>
    </w:p>
    <w:p>
      <w:pPr>
        <w:pStyle w:val="ListBullet"/>
      </w:pPr>
      <w:r>
        <w:t>bloße Bewertungen: die Behauptung des Herstellers, Kompressor, Sensorboard und Eiswürfelmodul seien „sicherheitsrelevant“, die Einschätzung des Händlers, die Gewährleistung sei „nahezu abgelaufen“, der Verdacht eines „Bedienfehlers oder verspäteten Updates“ sowie die Warnung, eine Reparatur durch Pütz &amp; Söhne könne die CarePlus-Garantie gefährden.</w:t>
      </w:r>
    </w:p>
    <w:p>
      <w:pPr>
        <w:jc w:val="left"/>
      </w:pPr>
      <w:r>
        <w:t>Nur die erste Ebene darf ohne Einschränkung in das Anschreiben an Brückner und VestaCool. Die zweite Ebene kann als Prüfstand dargestellt werden, etwa als Aufforderung, das vollständige Update- und Telemetrielog sowie die CarePlus-Bedingungen vorzulegen. Die dritte Ebene gehört in die interne Risikodiskussion, nicht in die externe Einlassung.</w:t>
      </w:r>
    </w:p>
    <w:p>
      <w:pPr>
        <w:pStyle w:val="Heading3"/>
      </w:pPr>
      <w:r>
        <w:rPr>
          <w:rFonts w:ascii="Times New Roman" w:hAnsi="Times New Roman"/>
        </w:rPr>
        <w:t>4. Gegenposition</w:t>
      </w:r>
    </w:p>
    <w:p>
      <w:pPr>
        <w:jc w:val="left"/>
      </w:pPr>
      <w:r>
        <w:t>Die Gegenseite wird voraussichtlich nicht nur einen Einzelfehler behaupten, sondern die Verantwortung verschieben. Brückner wird sich darauf berufen, für digitale Komfortfunktionen sei VestaCool zuständig, die Gewährleistung sei „nahezu abgelaufen“ und ein Austausch komme erst in Betracht, wenn ein autorisierter VestaCool-Techniker einen Hardwarefehler bestätigt habe. VestaCool wird auf das Herstellerlog vom 16.03.2026 verweisen und eine verspätete Installation des Sicherheitsupdates behaupten, außerdem den Diagnoseversuch von Pütz &amp; Söhne als nicht autorisierten Eingriff einordnen. Diese Gegenposition ist ernst zu nehmen, weil sie weniger am einzelnen Dokument als an den Lücken der Update- und Fotodokumentation ansetzt.</w:t>
      </w:r>
    </w:p>
    <w:p>
      <w:pPr>
        <w:jc w:val="left"/>
      </w:pPr>
      <w:r>
        <w:t>Dagegen hilft keine schroffe Abwehrformel, sondern eine nüchterne Darstellung. Belegt sind die Mängelanzeige vom 04.04.2026 in unverjährter Zeit, die App-Meldung einen Tag nach dem von der Mandantin geschilderten Update und die interne VestaCool-Notiz über gehäufte „IceModule-Calibration-Fails“ der Firmware 5.4.8. Bestritten wird eine verspätete Installation, zumal eine verständliche Installationsanleitung fehlt und die App-Meldung vom 03.02.2026 keine Folgen einer unterlassenen Installation nannte. Vorbehalten bleiben Rücktritt, Minderung und Schadensersatz nach fruchtlosem Ablauf der Frist zum 31.05.2026.</w:t>
      </w:r>
    </w:p>
    <w:p>
      <w:pPr>
        <w:pStyle w:val="Heading3"/>
      </w:pPr>
      <w:r>
        <w:rPr>
          <w:rFonts w:ascii="Times New Roman" w:hAnsi="Times New Roman"/>
        </w:rPr>
        <w:t>5. Handlungsempfehlung</w:t>
      </w:r>
    </w:p>
    <w:p>
      <w:pPr>
        <w:jc w:val="left"/>
      </w:pPr>
      <w:r>
        <w:t>Empfohlen wird folgender Ablauf:</w:t>
      </w:r>
    </w:p>
    <w:p>
      <w:pPr>
        <w:pStyle w:val="ListNumber"/>
      </w:pPr>
      <w:r>
        <w:t>Originalunterlagen sichern und nummerieren: Rechnung EB-2024-44172, Bestellbestätigung mit AGB-Auszug, Produktseiten-Ausdruck vom 06.04.2024, Werkstattprotokoll und Rechnung von Pütz &amp; Söhne, App-Screenshots mit Metadaten exportieren.</w:t>
      </w:r>
    </w:p>
    <w:p>
      <w:pPr>
        <w:pStyle w:val="ListNumber"/>
      </w:pPr>
      <w:r>
        <w:t>Fristenkalender mit Verantwortlichkeit erstellen: Nacherfüllungsfrist 31.05.2026, angebotener Techniktermin 18.06.2026, Verjährung nach § 438 Abs. 1 Nr. 3, Abs. 2 BGB (zwei Jahre ab Ablieferung im April 2024) einschließlich Ablaufhemmung nach § 475e Abs. 3 BGB, weil sich der Mangel am 08.02.2026 gezeigt hat.</w:t>
      </w:r>
    </w:p>
    <w:p>
      <w:pPr>
        <w:pStyle w:val="ListNumber"/>
      </w:pPr>
      <w:r>
        <w:t>Das Anschreiben an Brückner (Entwurf Dr. Mertens) finalisieren: Eingang der Händlerantwort vom 22.04.2026 bestätigen, Nacherfüllung bis zum 31.05.2026 verlangen und alternativ einen autorisierten Soforttermin mit Diagnosezugang fordern.</w:t>
      </w:r>
    </w:p>
    <w:p>
      <w:pPr>
        <w:pStyle w:val="ListNumber"/>
      </w:pPr>
      <w:r>
        <w:t>Intern ein Langmemo mit Risikoampel führen, insbesondere zum streitigen Installationsdatum, zur Beweiskraft der undatierten Fotos und zur Kausalität der entsorgten Lebensmittel.</w:t>
      </w:r>
    </w:p>
    <w:p>
      <w:pPr>
        <w:pStyle w:val="ListNumber"/>
      </w:pPr>
      <w:r>
        <w:t>Nach Eingang der CarePlus-36-Bedingungen und des vollständigen Update-Logs die endgültige Stellungnahme verfassen, einschließlich der Entscheidung zwischen Ersatzlieferung, Minderung und Rücktritt.</w:t>
      </w:r>
    </w:p>
    <w:p>
      <w:pPr>
        <w:pStyle w:val="ListNumber"/>
      </w:pPr>
      <w:r>
        <w:t>Bei Vergleichskontakt mit VestaCool nur freigegebene Tatsachen verwenden; die interne Herstellernotiz über den ungelösten Serienfehler („Root cause not closed“) wird als Verhandlungsargument geprüft, aber nicht vorschnell ausgespielt.</w:t>
      </w:r>
    </w:p>
    <w:p>
      <w:pPr>
        <w:pStyle w:val="Heading3"/>
      </w:pPr>
      <w:r>
        <w:rPr>
          <w:rFonts w:ascii="Times New Roman" w:hAnsi="Times New Roman"/>
        </w:rPr>
        <w:t>6. Entwurf einer Entscheidungsvorlage</w:t>
      </w:r>
    </w:p>
    <w:p>
      <w:pPr>
        <w:jc w:val="left"/>
      </w:pPr>
      <w:r>
        <w:t>Option A: defensive Minimalantwort auf das Händlerschreiben vom 22.04.2026, die lediglich die Fristsetzung zum 31.05.2026 wiederholt. Vorteil: geringe Selbstbelastung, schnelle Fristwahrung. Nachteil: wirkt ausweichend, weil Brückner konkrete Angaben zu Firmwarestand und Bedienung erwartet und der Techniktermin am 18.06.2026 ungenutzt näher rückt.</w:t>
      </w:r>
    </w:p>
    <w:p>
      <w:pPr>
        <w:jc w:val="left"/>
      </w:pPr>
      <w:r>
        <w:t>Option B: strukturierte Teiloffenlegung mit Update-Chronologie ab dem 03.02.2026, Werkstattprotokoll vom 03.05.2026 und Temperaturdokumentation, verbunden mit der Forderung nach Diagnosezugang für Pütz &amp; Söhne oder einem autorisierten Soforttermin. Vorteil: glaubwürdig und kooperativ, ohne die Beweislastposition aus § 477 Abs. 2 BGB aufzugeben. Nachteil: benötigt saubere interne Abstimmung, welche Fotos und Erinnerungen der Mandantin bereits belastbar sind.</w:t>
      </w:r>
    </w:p>
    <w:p>
      <w:pPr>
        <w:jc w:val="left"/>
      </w:pPr>
      <w:r>
        <w:t>Option C: umfassende Stellungnahme mit Androhung von Rücktritt, Minderung und Schadensersatz einschließlich der Werkstattkosten von 178,50 EUR und der entsorgten Lebensmittel. Vorteil: kann den Vorgang vor dem Sommer beenden. Nachteil: hohes Risiko, solange der Installationszeitpunkt der Firmware 5.4.8 und der Inhalt von CarePlus 36 ungeklärt sind.</w:t>
      </w:r>
    </w:p>
    <w:p>
      <w:pPr>
        <w:jc w:val="left"/>
      </w:pPr>
      <w:r>
        <w:t>Derzeit ist Option B vorzugswürdig. Sie erlaubt Kontrolle über die Darstellung, vermeidet ein vorschnelles Zugeständnis eines Bedienfehlers und zwingt Brückner und VestaCool, ihre Behauptungen zu Update, Sicherheitsrelevanz und Zuständigkeit zu belegen.</w:t>
      </w:r>
    </w:p>
    <w:p>
      <w:pPr>
        <w:pStyle w:val="Heading2"/>
      </w:pPr>
      <w:r>
        <w:rPr>
          <w:rFonts w:ascii="Times New Roman" w:hAnsi="Times New Roman"/>
        </w:rPr>
        <w:t>Offene Nachforderungen</w:t>
      </w:r>
    </w:p>
    <w:p>
      <w:pPr>
        <w:pStyle w:val="ListBullet"/>
      </w:pPr>
      <w:r>
        <w:t>vollständige Bedingungen des Garantiepakets CarePlus 36;</w:t>
      </w:r>
    </w:p>
    <w:p>
      <w:pPr>
        <w:pStyle w:val="ListBullet"/>
      </w:pPr>
      <w:r>
        <w:t>vollständiges Update- und Telemetrielog des Herstellers zur Klärung des Installationsdatums (07.02.2026 oder 16.03.2026);</w:t>
      </w:r>
    </w:p>
    <w:p>
      <w:pPr>
        <w:pStyle w:val="ListBullet"/>
      </w:pPr>
      <w:r>
        <w:t>Installationsanleitung des Herstellers zur Firmware 5.4.8;</w:t>
      </w:r>
    </w:p>
    <w:p>
      <w:pPr>
        <w:pStyle w:val="ListBullet"/>
      </w:pPr>
      <w:r>
        <w:t>Auskunft von VestaCool zum Registrierungsverfahren für unabhängige Werkstätten und zum Diagnose-Token für Pütz &amp; Söhne;</w:t>
      </w:r>
    </w:p>
    <w:p>
      <w:pPr>
        <w:pStyle w:val="ListBullet"/>
      </w:pPr>
      <w:r>
        <w:t>Belege und Kassenbons zu den entsorgten Lebensmitteln;</w:t>
      </w:r>
    </w:p>
    <w:p>
      <w:pPr>
        <w:pStyle w:val="ListBullet"/>
      </w:pPr>
      <w:r>
        <w:t>Metadaten der Handyfotos vom 24.03.2026 und 02.04.2026;</w:t>
      </w:r>
    </w:p>
    <w:p>
      <w:pPr>
        <w:pStyle w:val="ListBullet"/>
      </w:pPr>
      <w:r>
        <w:t>Bestätigung, ob der Ersatzkompressor VC-CMP-900 oder das kompatible Drittanbieter-Modul serverseitig freigeschaltet werden kann.</w:t>
      </w:r>
    </w:p>
    <w:p>
      <w:pPr>
        <w:pStyle w:val="Heading2"/>
      </w:pPr>
      <w:r>
        <w:rPr>
          <w:rFonts w:ascii="Times New Roman" w:hAnsi="Times New Roman"/>
        </w:rPr>
        <w:t>Ergebnis</w:t>
      </w:r>
    </w:p>
    <w:p>
      <w:pPr>
        <w:jc w:val="left"/>
      </w:pPr>
      <w:r>
        <w:t>Die Akte ist bearbeitbar, aber noch nicht entscheidungsreif. Der juristisch beste nächste Schritt ist das kontrollierte Anschreiben an Brückner mit Fristsetzung zum 31.05.2026 und der Forderung nach Diagnosezugang, parallel dazu die Sicherung der Beweise zu Update-Chronologie, Temperaturverlauf und Reparaturblockade. Erst nach Vorlage der CarePlus-Bedingungen und des vollständigen Update-Logs sollte über Rücktritt, Minderung und Schadensersatz endgültig entschieden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