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Vollgutachten: Smart-Kühlschrank und Right to Repair</w:t>
      </w:r>
    </w:p>
    <w:p>
      <w:pPr>
        <w:pStyle w:val="Heading2"/>
      </w:pPr>
      <w:r>
        <w:rPr>
          <w:rFonts w:ascii="Times New Roman" w:hAnsi="Times New Roman"/>
        </w:rPr>
        <w:t>Auftrag und Aktenlage</w:t>
      </w:r>
    </w:p>
    <w:p>
      <w:pPr>
        <w:jc w:val="left"/>
      </w:pPr>
      <w:r>
        <w:t>Dieses Gutachten ordnet die Unterlagen des Mandats von Reichenbach ./. Elektrohaus Brückner GmbH und VestaCool Europe GmbH und formuliert die rechtliche Prüfung so weit aus, dass Anschreiben, Anträge und Verhandlungen daraus unmittelbar entwickelt werden können. Gegenstand ist der am 18.04.2024 gekaufte vernetzte Kühlschrank VestaCool FR-900 SmartCooling (Rechnung EB-2024-44172, Gesamtpreis 3.667,00 EUR einschließlich Garantiepaket CarePlus 36), dessen Eiswürfelmodul nach dem Firmware-Update 5.4.8 ausfiel und dessen Frischefach seit März 2026 Temperaturen von bis zu 12 Grad statt der eingestellten 4 Grad zeigt. Der Kern liegt bei der Einordnung als Ware mit digitalen Elementen, den Updatepflichten, der blockierten unabhängigen Reparatur durch die Kältewerkstatt Pütz &amp; Söhne und der Beweislast; einschlägig sind insbesondere §§ 327a, 434, 437, 439, 445a, 475b, 475c, 475e, 476 und 477 BGB sowie die europäischen Vorgaben zum Recht auf Reparatur.</w:t>
      </w:r>
    </w:p>
    <w:p>
      <w:pPr>
        <w:pStyle w:val="Heading2"/>
      </w:pPr>
      <w:r>
        <w:rPr>
          <w:rFonts w:ascii="Times New Roman" w:hAnsi="Times New Roman"/>
        </w:rPr>
        <w:t>Tatsächlicher Prüfrahmen</w:t>
      </w:r>
    </w:p>
    <w:p>
      <w:pPr>
        <w:jc w:val="left"/>
      </w:pPr>
      <w:r>
        <w:t>Die Akte zeigt konkrete Brüche. Die Mandantin datiert die Installation der Firmware 5.4.8 auf den Abend des 07.02.2026, das Herstellerlog liest den 16.03.2026 als Installationsdatum; ungeklärt ist, ob der Log-Eintrag „accepted“ die Installation oder nur eine Telemetrie-Rückmeldung bezeichnet. Die Handyfotos der Temperaturanzeige (Display 4 Grad, Thermometer 11 Grad) sind nicht datiert. Die Händlerantwort vom 22.04.2026 spricht nur von der zweijährigen Herstellergarantie, obwohl die Rechnung das Paket CarePlus 36 über 249,00 EUR ausweist, dessen Bedingungen fehlen. Deshalb wird jedes Dokument mit drei Fragen gelesen: Welche Tatsache wird dadurch belegt? Welche Rechtsfolge soll daran geknüpft werden? Welche Gegenbehauptung von Brückner oder VestaCool ist realistisch?</w:t>
      </w:r>
    </w:p>
    <w:p>
      <w:pPr>
        <w:pStyle w:val="Heading2"/>
      </w:pPr>
      <w:r>
        <w:rPr>
          <w:rFonts w:ascii="Times New Roman" w:hAnsi="Times New Roman"/>
        </w:rPr>
        <w:t>Normprogramm</w:t>
      </w:r>
    </w:p>
    <w:p>
      <w:pPr>
        <w:jc w:val="left"/>
      </w:pPr>
      <w:r>
        <w:t>Die Prüfung beginnt mit der Einordnung: Der FR-900 kann nach der Produktbeschreibung ohne Firmware, App und Cloud-Dienst weder das Eiswürfelmodul kalibrieren noch Temperaturprofile, Wartungsdiagnose und Ersatzteilfreischaltung nutzen, was für eine Ware mit digitalen Elementen nach § 327a Abs. 3 und § 475b Abs. 1 BGB spricht. Darauf bauen auf: der Sachmangel nach § 434 und § 475b Abs. 2 bis 4 BGB, die Aktualisierungspflicht einschließlich Information über die Updates (§ 475b Abs. 4 Nr. 2 BGB) und die Frage einer fehlerhaften Installation durch die Verbraucherin (§ 475b Abs. 5 BGB), die dauerhafte Bereitstellung der SmartCooling Cloud (§ 475c BGB), die Beweislastvermutung während des Bereitstellungszeitraums (§ 477 Abs. 2 BGB), die Verjährung mit Ablaufhemmung (§ 475e BGB), die Nacherfüllung (§ 439 BGB), der Regress der Verkäuferin gegen ihre Lieferkette (§ 445a BGB), die Grenzen abweichender AGB (§ 476 BGB) sowie produktrechtliche Pflichten wegen der intern eingeräumten Häufung von Kalibrierungsfehlern. Diese Matrix entscheidet, ob die Käuferin nacherfüllen lässt, mindert, zurücktritt oder Schadensersatz verlangt.</w:t>
      </w:r>
    </w:p>
    <w:p>
      <w:pPr>
        <w:pStyle w:val="Heading2"/>
      </w:pPr>
      <w:r>
        <w:rPr>
          <w:rFonts w:ascii="Times New Roman" w:hAnsi="Times New Roman"/>
        </w:rPr>
        <w:t>Subsumtion I: Ausgangsposition</w:t>
      </w:r>
    </w:p>
    <w:p>
      <w:pPr>
        <w:jc w:val="left"/>
      </w:pPr>
      <w:r>
        <w:t>Die Käuferin hat eine vertretbare, aber nicht risikolose Ausgangsposition. Sie kann sich auf die Rechnung vom 18.04.2024, den Produktseiten-Ausdruck vom 06.04.2024 mit dem Versprechen „Langfristig reparierbar: Ersatzteile und Servicezugang für bis zu 10 Jahre“, die App-Meldung „IceModule calibration failed“ vom 08.02.2026 und das Werkstattprotokoll von Pütz &amp; Söhne vom 03.05.2026 stützen, das eine mechanisch mögliche Standardreparatur beschreibt, die allein am verweigerten Diagnose-Token und am NFC-Pairing des Ersatzkompressors VC-CMP-900 scheiterte. Schwach ist bisher, dass die Temperaturfotos undatiert sind, die mündliche Zusage des Brückner-Mitarbeiters zur freien Werkstattwahl nur als Randnotiz vorliegt und der Installationszeitpunkt des Updates streitig ist.</w:t>
      </w:r>
    </w:p>
    <w:p>
      <w:pPr>
        <w:pStyle w:val="Heading2"/>
      </w:pPr>
      <w:r>
        <w:rPr>
          <w:rFonts w:ascii="Times New Roman" w:hAnsi="Times New Roman"/>
        </w:rPr>
        <w:t>Subsumtion II: Gegenseite und Behördenlogik</w:t>
      </w:r>
    </w:p>
    <w:p>
      <w:pPr>
        <w:jc w:val="left"/>
      </w:pPr>
      <w:r>
        <w:t>Brückner und VestaCool werden voraussichtlich nicht den gesamten Vorgang bestreiten, sondern an einzelnen Scharnieren ansetzen: der behaupteten verspäteten Installation des Sicherheitsupdates, einem möglichen Bedienfehler, dem Diagnoseversuch von Pütz &amp; Söhne als angeblich nicht autorisiertem Eingriff, der angeblich „nahezu abgelaufenen“ Gewährleistung und dem Sicherheitsargument der Servicepolicy vom 15.05.2026. Deshalb muss die Antwort nicht laut, sondern präzise sein: Sie muss die Update-Chronologie ab dem 03.02.2026 belegen, die fehlende Installationsanleitung benennen und zeigen, dass die Verkäuferin für Mängel der Ware einschließlich ihrer digitalen Elemente passivlegitimiert bleibt.</w:t>
      </w:r>
    </w:p>
    <w:p>
      <w:pPr>
        <w:pStyle w:val="Heading2"/>
      </w:pPr>
      <w:r>
        <w:rPr>
          <w:rFonts w:ascii="Times New Roman" w:hAnsi="Times New Roman"/>
        </w:rPr>
        <w:t>Beweis- und Dokumentenstrategie</w:t>
      </w:r>
    </w:p>
    <w:p>
      <w:pPr>
        <w:jc w:val="left"/>
      </w:pPr>
      <w:r>
        <w:t>Für jede tragende Behauptung braucht die Akte einen Beleg. Für den Mangel: die App-Meldungen vom 08.02.2026 und 02.04.2026, der Temperaturzettel vom 24.03.2026 (12 Grad um 07:20 Uhr) und der Werkstattbefund zum unregelmäßig anlaufenden Kompressor mit Abschaltung nach kurzer Lastphase. Für die Reparaturblockade: die ServicePort-Meldung „Token refused — authorized service session required“ und die verweigerte NFC-Freischaltung des Ersatzkompressors. Für die Mitverantwortung des Herstellers: die interne Notiz über gehäufte „IceModule-Calibration-Fails“ der Firmware 5.4.8. Wo ein Dokument fehlt — CarePlus-Bedingungen, vollständiges Update-Log, Metadaten der Fotos, Belege der entsorgten Lebensmittel —, wird nicht improvisiert, sondern eine Nachforderung formuliert; Widersprüche wie die beiden Installationsdaten werden in einem Vermerk erklärt.</w:t>
      </w:r>
    </w:p>
    <w:p>
      <w:pPr>
        <w:pStyle w:val="Heading2"/>
      </w:pPr>
      <w:r>
        <w:rPr>
          <w:rFonts w:ascii="Times New Roman" w:hAnsi="Times New Roman"/>
        </w:rPr>
        <w:t>Taktische Bewertung</w:t>
      </w:r>
    </w:p>
    <w:p>
      <w:pPr>
        <w:jc w:val="left"/>
      </w:pPr>
      <w:r>
        <w:t>Der beste nächste Schritt ist eine gestufte Reaktion. Zuerst wird die Akte geschlossen: CarePlus-Bedingungen, Update-Log und Installationsanleitung anfordern, App-Screenshots mit Metadaten sichern, Fristen notieren (Nacherfüllungsfrist 31.05.2026, Techniktermin 18.06.2026, Ablaufhemmung nach § 475e Abs. 3 BGB, weil sich der Mangel am 08.02.2026 gezeigt hat). Zweitens wird das Anschreiben an Brückner finalisiert, das Nacherfüllung bis zum 31.05.2026 oder einen autorisierten Soforttermin mit Diagnosezugang verlangt. Drittens wird ein interner Entscheidungsvermerk erstellt, der Ersatzlieferung, Minderung, Rücktritt und Schadensersatz (entsorgte Lebensmittel, Werkstattrechnung über 178,50 EUR) mit Kosten und Risiken vergleicht. Viertens wird eine Klage vorbereitet, aber erst ausgelöst, wenn die Frist fruchtlos abläuft und auch der Nachtrag zum Cloud-Ticket keinen Diagnosezugang bringt.</w:t>
      </w:r>
    </w:p>
    <w:p>
      <w:pPr>
        <w:pStyle w:val="Heading2"/>
      </w:pPr>
      <w:r>
        <w:rPr>
          <w:rFonts w:ascii="Times New Roman" w:hAnsi="Times New Roman"/>
        </w:rPr>
        <w:t>Ergebnis</w:t>
      </w:r>
    </w:p>
    <w:p>
      <w:pPr>
        <w:jc w:val="left"/>
      </w:pPr>
      <w:r>
        <w:t>Die Akte ist nicht mit einem einfachen Ja oder Nein erledigt. Die Nacherfüllungslage ist gut, weil der Mangel zeitnah gerügt wurde, die Beweislastvermutung des § 477 Abs. 2 BGB für Mängel der digitalen Elemente während des Bereitstellungszeitraums in Betracht kommt und der Hersteller die Fehlerhäufung intern eingeräumt hat. Offen bleiben der Installationszeitpunkt der Firmware 5.4.8, der Inhalt von CarePlus 36 und die Frage, ob die Token- und Pairing-Blockade gegenüber Pütz &amp; Söhne mit dem Werbeversprechen zur Reparierbarkeit und mit § 476 BGB vereinbar ist. Ziel der weiteren Bearbeitung ist, dass kein scheinbar kleines Beweisproblem — etwa die undatierten Fotos oder der doppeldeutige Log-Eintrag — später die materiell richtige Position der Käuferin entwertet.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