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Langgutachten und Entscheidungsvorlage</w:t>
      </w:r>
    </w:p>
    <w:p>
      <w:pPr>
        <w:pStyle w:val="Heading2"/>
      </w:pPr>
      <w:r>
        <w:rPr>
          <w:rFonts w:ascii="Times New Roman" w:hAnsi="Times New Roman"/>
        </w:rPr>
        <w:t>Gegenstand</w:t>
      </w:r>
    </w:p>
    <w:p>
      <w:pPr>
        <w:jc w:val="left"/>
      </w:pPr>
      <w:r>
        <w:t>Dieses Aktenstück führt die Unterlagen des Vorhabens der Isarlicht Fusion GmbH – Demonstrations-Fusionsanlage auf der rund 14 ha großen, technisch vorbelasteten Fläche bei Seehaupten mit 8,4 km langer Transrapid-Anbindung – zu einer entscheidungsfähigen Prüfungsfassung zusammen. Die Akte ist in ihrer bisherigen Form fragmentarisch: Die E-Mail der Rechtsabteilung vom 02.06.2026 verlangt eine belastbare Matrix zu Strahlenschutz, Bauleitplanung, Umwelt, Netzanschluss und Transrapid-Planung, ohne sie selbst zu liefern; die Risikoampel (Aktenstück 09) enthält nur Stichworte; der Entwurf der Ministeriumsvorlage (Aktenstück 11) behauptet, die Anlage benötige keine klassischen Atomgenehmigungen, und verschweigt das Strahlenschutzregime, das Aktenstück 04 bereits im Einzelnen entfaltet. Dieses Langgutachten schließt diese Lücken.</w:t>
      </w:r>
    </w:p>
    <w:p>
      <w:pPr>
        <w:pStyle w:val="Heading2"/>
      </w:pPr>
      <w:r>
        <w:rPr>
          <w:rFonts w:ascii="Times New Roman" w:hAnsi="Times New Roman"/>
        </w:rPr>
        <w:t>Prüfungsprogramm</w:t>
      </w:r>
    </w:p>
    <w:p>
      <w:pPr>
        <w:jc w:val="left"/>
      </w:pPr>
      <w:r>
        <w:t>Der Fall wird entlang folgender Stränge bearbeitet: strahlenschutzrechtliche Genehmigungen nach § 12 Abs. 1 Nr. 1 und Nr. 3 StrlSchG für Neutronenstrahlung und Tritiumumgang, Raumordnungsverfahren nach Art. 24 ff. BayLplG mit Alternativenprüfung, Bauleitplanung der Gemeinde Seehaupten (§ 12 BauGB, § 11 BauNVO), Naturschutz (FFH-Gebiet Starnberger See, § 34 BNatSchG; spezielle artenschutzrechtliche Prüfung nach § 44 BNatSchG), Wasserrecht (§§ 8 ff. WHG, Lage in der weiteren Trinkwasserschutzzone), Planfeststellung der Magnetschwebebahn nach § 2 AMbG, Netzanschluss nach § 17 EnWG sowie Förderung, Beihilfe, IP und Exportkontrolle. Für jeden Strang wird getrennt gefragt, ob er entscheidungsreif ist, ob Tatsachen fehlen oder ob derzeit nur ein Risikovermerk möglich ist.</w:t>
      </w:r>
    </w:p>
    <w:p>
      <w:pPr>
        <w:pStyle w:val="Heading3"/>
      </w:pPr>
      <w:r>
        <w:rPr>
          <w:rFonts w:ascii="Times New Roman" w:hAnsi="Times New Roman"/>
        </w:rPr>
        <w:t>1. Tatsachenbasis</w:t>
      </w:r>
    </w:p>
    <w:p>
      <w:pPr>
        <w:jc w:val="left"/>
      </w:pPr>
      <w:r>
        <w:t>Die Akte enthält Beweismittel sehr unterschiedlicher Qualität. Belastbar sind das Protokoll des Sicherheitsbeirats mit dem Beschluss, die Stoff- und Strahlenmatrix bis zum 30.06.2026 vorzulegen (Aktenstück 12), die E-Mail der Rechtsabteilung vom 02.06.2026 mit erkennbarem Absender (Aktenstück 08), die Standortnotiz mit Flächen-, Biotop- und Schutzgebietsangaben (Aktenstück 02) sowie die IP- und Fördermittelmatrix (Aktenstück 13). Nur eingeschränkt verwertbar sind die Minuten des Investorencalls (Aktenstück 01), die den CEO-Satz von der 'sauberen Energie, kein Atommüll, kaum Genehmigungen' ohne Datum und Teilnehmerliste wiedergeben, und die Haltung des Bürgermeisters von Seehaupten, die bislang nur als Gesprächseindruck notiert ist. Jede rechtliche Schlussfolgerung dieses Gutachtens wird deshalb mit dem jeweiligen Aktenstück verknüpft.</w:t>
      </w:r>
    </w:p>
    <w:p>
      <w:pPr>
        <w:jc w:val="left"/>
      </w:pPr>
      <w:r>
        <w:t>Der wichtigste Fehler wäre, die Genehmigungslage schon deshalb als geklärt anzusehen, weil der Vorlagenentwurf sie als geklärt bezeichnet. Der dort behauptete Verzicht auf 'klassische Atomgenehmigungen' ist nur die halbe Wahrheit: Die Anlage ist zwar keine kerntechnische Anlage im Sinne des § 7 AtG, weil keine Kernspaltung und keine Kettenreaktion stattfindet, sie benötigt aber Genehmigungen nach § 12 Abs. 1 Nr. 1 StrlSchG für die Erzeugung ionisierender Strahlung und nach § 12 Abs. 1 Nr. 3 StrlSchG für das Tritiuminventar im zweistelligen Grammbereich, das die Freigrenzen der Anlage 4 StrlSchV deutlich überschreitet. Auch das im Investorencall erwogene Etikett 'Forschungsanlage' ändert daran nichts; maßgeblich sind tatsächliche Anlage, Stoffe, Strahlung und Risiken.</w:t>
      </w:r>
    </w:p>
    <w:p>
      <w:pPr>
        <w:pStyle w:val="Heading3"/>
      </w:pPr>
      <w:r>
        <w:rPr>
          <w:rFonts w:ascii="Times New Roman" w:hAnsi="Times New Roman"/>
        </w:rPr>
        <w:t>2. Rechtliche Hauptfrage</w:t>
      </w:r>
    </w:p>
    <w:p>
      <w:pPr>
        <w:jc w:val="left"/>
      </w:pPr>
      <w:r>
        <w:t>Die Hauptfrage ist nicht, ob die Fusionsanlage wirtschaftlich oder politisch attraktiv ist. Sie lautet, ob Standort, Anlage und Transrapid-Anbindung auf der vorhandenen Tatsachengrundlage genehmigungsfähig sind und in welcher Verfahrensreihenfolge. Dafür sind je Strang Zuständigkeit (Landesamt für Umwelt und StMUV für den Strahlenschutz, höhere Landesplanungsbehörde für das Raumordnungsverfahren, Eisenbahn-Bundesamt für die Magnetschwebebahn, Gemeinde Seehaupten für die Bauleitplanung, Landratsamt für den Notfallschutz), Form, Fristen, materielle Voraussetzungen, planerische Abwägung, Dokumentation und Rechtsfolge getrennt zu prüfen.</w:t>
      </w:r>
    </w:p>
    <w:p>
      <w:pPr>
        <w:jc w:val="left"/>
      </w:pPr>
      <w:r>
        <w:t>Die Prüfung darf dabei nicht in eine bloße Checkliste abrutschen, denn die Stränge hängen voneinander ab. Ohne belastbares Evakuierungs- und Sicherheitskonzept wird der Bürgermeister von Seehaupten vor der Kommunalwahl im Frühjahr keinen Aufstellungsbeschluss anstoßen. Ohne ernsthafte Alternativenprüfung der Standorte Gewerbepark Nord und Konversionsfläche an der Bahnstrecke bietet das Raumordnungsverfahren eine offene Flanke. Ohne Entkopplung von der Transrapid-Planfeststellung, die realistisch vier bis sechs Jahre dauert, hängt die gesamte Anlagengenehmigung am Verkehrsprojekt. Und eine öffentliche Festlegung im Stil von 'Bayern zündet die Sonne an' kann später gegenüber Gemeinde, Landesplanung und Bürgerinitiative Uferklar als vorweggenommene Entscheidung ausgelegt werden.</w:t>
      </w:r>
    </w:p>
    <w:p>
      <w:pPr>
        <w:pStyle w:val="Heading3"/>
      </w:pPr>
      <w:r>
        <w:rPr>
          <w:rFonts w:ascii="Times New Roman" w:hAnsi="Times New Roman"/>
        </w:rPr>
        <w:t>3. Subsumtion nach Aktenstand</w:t>
      </w:r>
    </w:p>
    <w:p>
      <w:pPr>
        <w:jc w:val="left"/>
      </w:pPr>
      <w:r>
        <w:t>Nach derzeitigem Stand ist keiner der Stränge entscheidungsreif, aber alle sind bearbeitbar. Die stärkste Position besteht beim Strahlenschutz: Der Rahmen ist geklärt (kein § 7 AtG, dafür § 12 StrlSchG), die offenen Nachweise sind im Beschluss des Sicherheitsbeirats benannt und auf den 30.06.2026 terminiert, und die interne Fehlkommunikation wurde durch die Rechtsabteilung bereits vor dem Ministeriumstermin korrigiert. Am schwächsten ist der Standort: Das angrenzende Landschaftsschutzgebiet, das FFH-Gebiet Starnberger See, die zwei kartierten Biotope (Feuchtwiese, Altholzbestand) und die Lage in der weiteren Trinkwasserschutzzone sprechen gegen die Seenähe, und die Alternativenprüfung ist noch nicht begonnen.</w:t>
      </w:r>
    </w:p>
    <w:p>
      <w:pPr>
        <w:jc w:val="left"/>
      </w:pPr>
      <w:r>
        <w:t>Die Bearbeitung muss deshalb drei Ebenen unterscheiden:</w:t>
      </w:r>
    </w:p>
    <w:p>
      <w:pPr>
        <w:pStyle w:val="ListBullet"/>
      </w:pPr>
      <w:r>
        <w:t>gesicherte Tatsachen: rund 14 ha Fläche, 1,2 km Entfernung zum Seeufer, 28 m hohes Hallenbauwerk, 8,4 km Trasse mit 23 Eigentümern (davon vier erklärt verkaufsunwillig), Tritiuminventar im zweistelligen Grammbereich, Beschlusslage des Sicherheitsbeirats (Aktenstück 12);</w:t>
      </w:r>
    </w:p>
    <w:p>
      <w:pPr>
        <w:pStyle w:val="ListBullet"/>
      </w:pPr>
      <w:r>
        <w:t>plausible, aber offene Tatsachen: tatsächlicher Neutronenfluss und Quellterme, Netzverträglichkeit des 110-kV-Anschlusses, Haltung des Gemeinderats nach der Kommunalwahl, Ausgang der BAFA-Voranfrage zu Gyrotron- und Tritiumkomponenten, Bestand der Biotope nach der saP-Kartierung;</w:t>
      </w:r>
    </w:p>
    <w:p>
      <w:pPr>
        <w:pStyle w:val="ListBullet"/>
      </w:pPr>
      <w:r>
        <w:t>bloße Bewertungen: 'praktisch abfallfrei', 'kaum Genehmigungen', 'Grundlast neu erfunden', 'industrienah und landschaftlich vorbelastet' – Werbesätze, die die Akte selbst bereits widerlegt (Aktenstücke 04, 05 und 10).</w:t>
      </w:r>
    </w:p>
    <w:p>
      <w:pPr>
        <w:jc w:val="left"/>
      </w:pPr>
      <w:r>
        <w:t>Nur die erste Ebene darf ohne Einschränkung in das Behördenvorgespräch und in den Bürgerbrief. Die zweite Ebene wird als laufende Prüfung dargestellt, so wie es der juristisch korrigierte Vorlagentext (Aktenstück 11) bereits vorformuliert. Die dritte Ebene gehört in keine Außenkommunikation; sie hat im Investorencall bereits Schaden angerichtet und darf sich vor Ministerium, Gemeinde Seehaupten und Bürgerinitiative Uferklar nicht wiederholen.</w:t>
      </w:r>
    </w:p>
    <w:p>
      <w:pPr>
        <w:pStyle w:val="Heading3"/>
      </w:pPr>
      <w:r>
        <w:rPr>
          <w:rFonts w:ascii="Times New Roman" w:hAnsi="Times New Roman"/>
        </w:rPr>
        <w:t>4. Gegenposition</w:t>
      </w:r>
    </w:p>
    <w:p>
      <w:pPr>
        <w:jc w:val="left"/>
      </w:pPr>
      <w:r>
        <w:t>Die Gegenposition ist hier kein einzelner Prozessgegner, sondern ein Bündel. Die Bürgerinitiative Uferklar sammelt bereits Unterschriften, kann ein Bürgerbegehren nach Art. 18a BayGO gegen die Bauleitplanung anstrengen und hat eine Verbandsklage über einen anerkannten Umweltverband angekündigt. Die Fachbehörden werden nicht die Fusionstechnik als solche angreifen, sondern die Lücken: fehlende Stoff- und Strahlenmatrix, fehlender Dosisnachweis an der Anlagengrenze, fehlendes hydrogeologisches Gutachten zur Trinkwasserschutzzone, versäumtes saP-Kartierungsfenster von März bis Juni, fehlende Alternativenprüfung. Die Gemeinde Seehaupten wiederum wird jede Festlegung vor der Kommunalwahl verweigern.</w:t>
      </w:r>
    </w:p>
    <w:p>
      <w:pPr>
        <w:jc w:val="left"/>
      </w:pPr>
      <w:r>
        <w:t>Dagegen hilft keine Werbekampagne, sondern die nüchterne Linie des Bürgerbrief-Entwurfs (Aktenstück 14): belegen, was belegt ist (keine kerntechnische Anlage nach § 7 AtG, aber volles Strahlenschutzregime); offen benennen, was geprüft wird (unabhängiges Sicherheitsgutachten mit einem Zeitansatz von zwölf bis achtzehn Monaten, hydrogeologisches Gutachten, saP); und korrigieren, was falsch kommuniziert wurde (der Satz von den 'kaum Genehmigungen' aus dem Investorencall).</w:t>
      </w:r>
    </w:p>
    <w:p>
      <w:pPr>
        <w:pStyle w:val="Heading3"/>
      </w:pPr>
      <w:r>
        <w:rPr>
          <w:rFonts w:ascii="Times New Roman" w:hAnsi="Times New Roman"/>
        </w:rPr>
        <w:t>5. Handlungsempfehlung</w:t>
      </w:r>
    </w:p>
    <w:p>
      <w:pPr>
        <w:jc w:val="left"/>
      </w:pPr>
      <w:r>
        <w:t>Empfohlen wird folgender Ablauf:</w:t>
      </w:r>
    </w:p>
    <w:p>
      <w:pPr>
        <w:pStyle w:val="ListNumber"/>
      </w:pPr>
      <w:r>
        <w:t>Stoff- und Strahlenmatrix fristgerecht bis zum 30.06.2026 fertigstellen und dem Sicherheitsbeirat vorlegen (Beschluss im Aktenstück 12).</w:t>
      </w:r>
    </w:p>
    <w:p>
      <w:pPr>
        <w:pStyle w:val="ListNumber"/>
      </w:pPr>
      <w:r>
        <w:t>Vorgezogene saP-Kartierung für Altholzbestand und Feuchtwiese sofort beauftragen; das Kartierungsfenster von März bis Juni entscheidet über ein Jahr Projektlaufzeit.</w:t>
      </w:r>
    </w:p>
    <w:p>
      <w:pPr>
        <w:pStyle w:val="ListNumber"/>
      </w:pPr>
      <w:r>
        <w:t>Scoping-Termin mit StMUV und Landratsamt binnen acht Wochen vereinbaren; Grundlage sind das Fragenpaket für das Behördenvorgespräch und die juristisch korrigierte Ministeriumsvorlage.</w:t>
      </w:r>
    </w:p>
    <w:p>
      <w:pPr>
        <w:pStyle w:val="ListNumber"/>
      </w:pPr>
      <w:r>
        <w:t>Anschlussbegehren für den 110-kV-Anschluss beim Verteilnetzbetreiber stellen und die Netzverträglichkeitsprüfung beauftragen; parallel das Gutachten zu individuellen Netzentgelten nach § 19 Abs. 2 StromNEV in Auftrag geben.</w:t>
      </w:r>
    </w:p>
    <w:p>
      <w:pPr>
        <w:pStyle w:val="ListNumber"/>
      </w:pPr>
      <w:r>
        <w:t>Konsortialvertrag mit den drei Forschungspartnern (Background- und Foreground-Rechte, Publikationsregeln, Erfindervergütung) binnen zehn Wochen abschließen; vor Unterzeichnung des Series-B-Term-Sheets die Meldepflicht nach §§ 55 ff. AWV für den außereuropäischen Ankerinvestor klären.</w:t>
      </w:r>
    </w:p>
    <w:p>
      <w:pPr>
        <w:pStyle w:val="ListNumber"/>
      </w:pPr>
      <w:r>
        <w:t>In jeder Behörden- und Bürgerkommunikation ausschließlich die freigegebenen Formulierungen der korrigierten Ministeriumsvorlage verwenden; die Begriffe 'genehmigungsfrei' und 'praktisch abfallfrei' sind gesperrt.</w:t>
      </w:r>
    </w:p>
    <w:p>
      <w:pPr>
        <w:pStyle w:val="Heading3"/>
      </w:pPr>
      <w:r>
        <w:rPr>
          <w:rFonts w:ascii="Times New Roman" w:hAnsi="Times New Roman"/>
        </w:rPr>
        <w:t>6. Entwurf einer Entscheidungsvorlage</w:t>
      </w:r>
    </w:p>
    <w:p>
      <w:pPr>
        <w:jc w:val="left"/>
      </w:pPr>
      <w:r>
        <w:t>Option A: Beschränkung auf die Anlagengenehmigung nach § 12 StrlSchG; Transrapid und Bauleitplanung werden zurückgestellt, bis das unabhängige Sicherheitsgutachten vorliegt. Vorteil: schnellster Weg zu einem ersten belastbaren Bescheid, keine Festlegung der Gemeinde vor der Kommunalwahl. Nachteil: Das Ministerium erwartet nach dem bisherigen Narrativ ein Gesamtprojekt und könnte die Zurückstellung des Transrapid als Eingeständnis werten.</w:t>
      </w:r>
    </w:p>
    <w:p>
      <w:pPr>
        <w:jc w:val="left"/>
      </w:pPr>
      <w:r>
        <w:t>Option B: gestufte Gesamtstrategie mit Phasenentkopplung. Die Anlage kommt zuerst, denn für die Bauphase genügt die Straßenerschließung; das Raumordnungsverfahren wird mit ehrlicher Alternativenprüfung (Gewerbepark Nord, Konversionsfläche an der Bahnstrecke) betrieben; der Transrapid folgt als Phase 2 mit eigener Planfeststellung nach § 2 AMbG. Vorteil: Jeder Strang läuft in seinem eigenen Tempo, das Verkehrsprojekt blockiert die Anlagengenehmigung nicht. Nachteil: Die Kommunikation muss diszipliniert bleiben, weil der Transrapid politisch das attraktivste Element ist.</w:t>
      </w:r>
    </w:p>
    <w:p>
      <w:pPr>
        <w:jc w:val="left"/>
      </w:pPr>
      <w:r>
        <w:t>Option C: Gesamtantritt von Anlage, Transrapid und Bauleitplanung in einem koordinierten Verfahrenspaket. Vorteil: politisch wirkungsvoll und deckungsgleich mit dem Narrativ der Ministeriumsvorlage. Nachteil: Der kritische Pfad des Transrapid – vier bis sechs Jahre bis zum Planfeststellungsbeschluss, bei Klagen des von Uferklar angekündigten Umweltverbands zwei weitere Jahre – zieht das Gesamtprojekt in die Länge, und jede Schwäche eines Strangs infiziert die übrigen.</w:t>
      </w:r>
    </w:p>
    <w:p>
      <w:pPr>
        <w:jc w:val="left"/>
      </w:pPr>
      <w:r>
        <w:t>Vorzugswürdig ist Option B. Sie sichert die Frist des Sicherheitsbeirats zum 30.06.2026, hält die Gemeinde Seehaupten vor der Kommunalwahl aus der Schusslinie, nimmt der Bürgerinitiative das Argument einer vorweggenommenen Gesamtentscheidung und erhält den Transrapid als verhandelbare zweite Phase.</w:t>
      </w:r>
    </w:p>
    <w:p>
      <w:pPr>
        <w:pStyle w:val="Heading2"/>
      </w:pPr>
      <w:r>
        <w:rPr>
          <w:rFonts w:ascii="Times New Roman" w:hAnsi="Times New Roman"/>
        </w:rPr>
        <w:t>Offene Nachforderungen</w:t>
      </w:r>
    </w:p>
    <w:p>
      <w:pPr>
        <w:pStyle w:val="ListBullet"/>
      </w:pPr>
      <w:r>
        <w:t>Stoff- und Strahlenmatrix mit Tritiuminventar, Quelltermen und Aktivierungsbilanz (Frist des Sicherheitsbeirats: 30.06.2026);</w:t>
      </w:r>
    </w:p>
    <w:p>
      <w:pPr>
        <w:pStyle w:val="ListBullet"/>
      </w:pPr>
      <w:r>
        <w:t>hydrogeologisches Gutachten zur Lage in der weiteren Trinkwasserschutzzone einschließlich eines Tritium-Freisetzungsszenarios;</w:t>
      </w:r>
    </w:p>
    <w:p>
      <w:pPr>
        <w:pStyle w:val="ListBullet"/>
      </w:pPr>
      <w:r>
        <w:t>Lizenzvertrag mit der Helionbogen Systems AG nebst Freedom-to-Operate-Analyse, da die deutsche Projektgesellschaft an den Grundpatenten bislang nur Optionsrechte hält;</w:t>
      </w:r>
    </w:p>
    <w:p>
      <w:pPr>
        <w:pStyle w:val="ListBullet"/>
      </w:pPr>
      <w:r>
        <w:t>Alternativenmatrix für die Standorte Gewerbepark Nord und Konversionsfläche an der Bahnstrecke als Grundlage des Raumordnungsverfahrens;</w:t>
      </w:r>
    </w:p>
    <w:p>
      <w:pPr>
        <w:pStyle w:val="ListBullet"/>
      </w:pPr>
      <w:r>
        <w:t>belastbare Kostenschätzung für die 8,4 km lange Transrapid-Trasse einschließlich Fahrweg, Unterwerken und Betriebszentrale sowie für Netzanschluss, Baukostenzuschüsse und Netzverstärkung;</w:t>
      </w:r>
    </w:p>
    <w:p>
      <w:pPr>
        <w:pStyle w:val="ListBullet"/>
      </w:pPr>
      <w:r>
        <w:t>Entwürfe der Zuwendungsbescheide von Land und Bund mit sämtlichen Nebenbestimmungen, insbesondere Rückforderungsvorbehalten und Standortbindung;</w:t>
      </w:r>
    </w:p>
    <w:p>
      <w:pPr>
        <w:pStyle w:val="ListBullet"/>
      </w:pPr>
      <w:r>
        <w:t>aktueller Grunderwerbsstand entlang der Trasse, insbesondere der Verhandlungsstand mit den vier verkaufsunwilligen Eigentümern.</w:t>
      </w:r>
    </w:p>
    <w:p>
      <w:pPr>
        <w:pStyle w:val="Heading2"/>
      </w:pPr>
      <w:r>
        <w:rPr>
          <w:rFonts w:ascii="Times New Roman" w:hAnsi="Times New Roman"/>
        </w:rPr>
        <w:t>Ergebnis</w:t>
      </w:r>
    </w:p>
    <w:p>
      <w:pPr>
        <w:jc w:val="left"/>
      </w:pPr>
      <w:r>
        <w:t>Die Akte ist bearbeitbar, aber noch nicht entscheidungsreif. Rechtlich tragfähig ist derzeit allein die Aussage, dass keine Genehmigung nach § 7 AtG erforderlich ist, wohl aber das volle Strahlenschutzregime des § 12 StrlSchG greift und der gewünschte Mischbetrieb des Transrapid in die Planfeststellung nach § 2 AMbG führt. Der nächste Schritt ist die kontrollierte Außenkommunikation nach Maßgabe der korrigierten Ministeriumsvorlage und des Bürgerbrief-Entwurfs, parallel die fristgerechte Stoff- und Strahlenmatrix und die sofortige saP-Kartierung. Erst wenn diese Bausteine vorliegen, sollte über Raumordnungsantrag und Transrapid-Phase 2 endgültig entschieden werden.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