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Vollgutachten: Kernfusion und Transrapid am Starnberger See</w:t>
      </w:r>
    </w:p>
    <w:p>
      <w:pPr>
        <w:pStyle w:val="Heading2"/>
      </w:pPr>
      <w:r>
        <w:rPr>
          <w:rFonts w:ascii="Times New Roman" w:hAnsi="Times New Roman"/>
        </w:rPr>
        <w:t>Auftrag und Aktenlage</w:t>
      </w:r>
    </w:p>
    <w:p>
      <w:pPr>
        <w:jc w:val="left"/>
      </w:pPr>
      <w:r>
        <w:t>Dieses Aktenstück ist als zusammenhängendes Arbeitsgutachten angelegt. Es ordnet die Akte des Vorhabens der Isarlicht Fusion GmbH und formuliert die rechtliche Prüfung so weit aus, dass Behördenvorgespräch, Anträge und die nächste Finanzierungsrunde daraus unmittelbar entwickelt werden können. Gegenstand sind die Demonstrations-Fusionsanlage auf der rund 14 ha großen, technisch vorbelasteten Fläche bei Seehaupten, 1,2 km vom Ufer des Starnberger Sees entfernt, die 8,4 km lange Transrapid-Anbindung mit zwei Haltepunkten und optionaler Verlängerung zum Forschungscampus sowie die Energieanbindung mit bis zu 80 MW Bezugsleistung in Phase 0 und 30 bis 50 MW Einspeisung in Phase 1. Einschlägig sind die atomrechtliche Abgrenzung (§ 7 AtG), das Strahlenschutzrecht (§ 12 StrlSchG, StrlSchV), BauGB und BayBO, das UVPG, das EnWG, das Allgemeine Magnetschwebebahngesetz sowie Sicherheits- und Katastrophenschutzrecht.</w:t>
      </w:r>
    </w:p>
    <w:p>
      <w:pPr>
        <w:pStyle w:val="Heading2"/>
      </w:pPr>
      <w:r>
        <w:rPr>
          <w:rFonts w:ascii="Times New Roman" w:hAnsi="Times New Roman"/>
        </w:rPr>
        <w:t>Tatsächlicher Prüfrahmen</w:t>
      </w:r>
    </w:p>
    <w:p>
      <w:pPr>
        <w:jc w:val="left"/>
      </w:pPr>
      <w:r>
        <w:t>Die Akte zeigt die typischen Brüche eines technikgetriebenen Projekts. Der Investorencall (Aktenstück 01) und der Entwurf der Ministeriumsvorlage (Aktenstück 11) sind werblich formuliert ('saubere Energie, kein Atommüll, kaum Genehmigungen'; 'praktisch abfallfrei'); das Strahlenschutz-Aktenstück 04, das Protokoll des Sicherheitsbeirats (Aktenstück 12) und die E-Mail der Rechtsabteilung vom 02.06.2026 widersprechen dem ausdrücklich. Jedes Dokument wird deshalb mit drei Fragen gelesen: Welche Tatsache belegt es, etwa das Tritiuminventar im zweistelligen Grammbereich? Welche Rechtsfolge knüpft daran, etwa die Genehmigungspflicht nach § 12 Abs. 1 Nr. 3 StrlSchG? Und welche Gegenbehauptung ist realistisch, etwa der Einwand der Bürgerinitiative Uferklar, es fehle ein belastbares Evakuierungs- und Sicherheitskonzept?</w:t>
      </w:r>
    </w:p>
    <w:p>
      <w:pPr>
        <w:pStyle w:val="Heading2"/>
      </w:pPr>
      <w:r>
        <w:rPr>
          <w:rFonts w:ascii="Times New Roman" w:hAnsi="Times New Roman"/>
        </w:rPr>
        <w:t>Normprogramm</w:t>
      </w:r>
    </w:p>
    <w:p>
      <w:pPr>
        <w:jc w:val="left"/>
      </w:pPr>
      <w:r>
        <w:t>Die Prüfung beginnt mit der Rechtsnatur der Anlage. Sie ist keine kerntechnische Anlage im Sinne des § 7 AtG, weil weder Kernspaltung noch eine Kettenreaktion stattfindet; maßgeblich ist das Strahlenschutzrecht mit den Genehmigungen nach § 12 Abs. 1 Nr. 1 StrlSchG für die Erzeugung ionisierender Strahlung (Neutronenstrahlung des Fusionsbetriebs) und nach § 12 Abs. 1 Nr. 3 StrlSchG für den Umgang mit Tritium oberhalb der Freigrenzen der Anlage 4 StrlSchV; zuständig ist die bayerische Strahlenschutzbehörde. Daneben treten das Raumordnungsverfahren nach Art. 24 ff. BayLplG, die Bauleitplanung der Gemeinde Seehaupten (§ 12 BauGB, § 11 BauNVO; im Außenbereich ist die Anlage nach § 35 BauGB nicht privilegiert), das Wasserrecht (§§ 8 ff. WHG, Trinkwasserschutzzone), der Naturschutz (§§ 34, 44 BNatSchG), das UVPG, der Netzanschluss nach § 17 EnWG und für den Transrapid die Planfeststellung nach § 2 AMbG in Verbindung mit §§ 72 ff. VwVfG. Diese Matrix entscheidet, in welcher Reihenfolge die Mandantin beantragt, verhandelt oder zurückstellt.</w:t>
      </w:r>
    </w:p>
    <w:p>
      <w:pPr>
        <w:pStyle w:val="Heading2"/>
      </w:pPr>
      <w:r>
        <w:rPr>
          <w:rFonts w:ascii="Times New Roman" w:hAnsi="Times New Roman"/>
        </w:rPr>
        <w:t>Subsumtion I: Ausgangsposition</w:t>
      </w:r>
    </w:p>
    <w:p>
      <w:pPr>
        <w:jc w:val="left"/>
      </w:pPr>
      <w:r>
        <w:t>Die Isarlicht Fusion GmbH hat eine vertretbare, aber nicht risikolose Ausgangsposition. Für sie sprechen die frühzeitige interne Korrektur der Fehlkommunikation durch die Rechtsabteilung vor dem Ministeriumstermin, die klare Beschlusslage des Sicherheitsbeirats mit der auf den 30.06.2026 terminierten Stoff- und Strahlenmatrix und der bewusst nüchterne Bürgerbrief-Entwurf. Schwach ist die Position bei Standort und Rechtekette: Die zwei kartierten Biotope, das angrenzende Landschaftsschutzgebiet, das FFH-Gebiet Starnberger See und die Trinkwasserschutzzone sind bislang nur notiert, nicht gutachterlich bewertet; an den Grundpatenten der Helionbogen Systems AG hält die deutsche Projektgesellschaft nur Optionsrechte; und die Series-B-Forderung nach 'clean IP und keine Subventionsrisiken' ist in dieser Frühphase nicht zusagbar, sondern nur durch Offenlegung der bekannten Nebenbestimmungen abbildbar.</w:t>
      </w:r>
    </w:p>
    <w:p>
      <w:pPr>
        <w:pStyle w:val="Heading2"/>
      </w:pPr>
      <w:r>
        <w:rPr>
          <w:rFonts w:ascii="Times New Roman" w:hAnsi="Times New Roman"/>
        </w:rPr>
        <w:t>Subsumtion II: Gegenseite und Behördenlogik</w:t>
      </w:r>
    </w:p>
    <w:p>
      <w:pPr>
        <w:jc w:val="left"/>
      </w:pPr>
      <w:r>
        <w:t>Behörden und Einwender werden nicht den Gesamtvorgang bestreiten, sondern an einzelnen Scharnieren ansetzen. Die höhere Landesplanungsbehörde wird im Raumordnungsverfahren die fehlende Alternativenprüfung der Standorte Gewerbepark Nord und Konversionsfläche an der Bahnstrecke rügen. Die Strahlenschutzbehörde wird ohne Stoff- und Strahlenmatrix, ohne Dosisnachweis an der Anlagengrenze (§ 80 StrlSchG: 1 mSv effektive Dosis pro Jahr für Einzelpersonen der Bevölkerung) und ohne Abfall- und Stoffstrombilanz keinen Antrag als vollständig behandeln. Die Gemeinde Seehaupten wird vor der Kommunalwahl keinen Aufstellungsbeschluss fassen. Und die Bürgerinitiative Uferklar wird jede Lücke im Evakuierungs- und Sicherheitskonzept öffentlich machen. Die Antwort muss deshalb nicht laut, sondern vollständig sein.</w:t>
      </w:r>
    </w:p>
    <w:p>
      <w:pPr>
        <w:pStyle w:val="Heading2"/>
      </w:pPr>
      <w:r>
        <w:rPr>
          <w:rFonts w:ascii="Times New Roman" w:hAnsi="Times New Roman"/>
        </w:rPr>
        <w:t>Beweis- und Dokumentenstrategie</w:t>
      </w:r>
    </w:p>
    <w:p>
      <w:pPr>
        <w:jc w:val="left"/>
      </w:pPr>
      <w:r>
        <w:t>Für jede tragende Behauptung braucht die Akte einen Beleg. Der Satz 'kein Atommüll' ist widerlegt: Durch Neutronen aktivierte Strukturmaterialien der ersten Wand und des Divertors sind radioaktive Abfälle im Sinne des § 3 StrlSchG mit Ablieferungspflicht an die Landessammelstelle; die Abfall- und Stoffstrombilanz ist zu erstellen, nicht zu behaupten. Der Slogan 'Grundlast neu erfunden' ist in belastbare Angaben zu übersetzen: Bezugsleistung bis 80 MW in Phase 0, Einspeisung von 30 bis 50 MW in Phase 1, Anschluss auf der 110-kV-Ebene, keine EEG-Vergütung und keine anerkannten Herkunftsnachweise. Der Grunderwerb entlang der Transrapid-Trasse ist zu dokumentieren: 23 Eigentümer, davon vier erklärt verkaufsunwillig, und außerhalb der Planfeststellung keine enteignungsrechtliche Vorwirkung. Wo ein Dokument fehlt – hydrogeologisches Gutachten, saP-Kartierung, Lizenzvertrag mit dem Züricher Technologiepartner –, wird nicht improvisiert, sondern die Nachforderung terminiert.</w:t>
      </w:r>
    </w:p>
    <w:p>
      <w:pPr>
        <w:pStyle w:val="Heading2"/>
      </w:pPr>
      <w:r>
        <w:rPr>
          <w:rFonts w:ascii="Times New Roman" w:hAnsi="Times New Roman"/>
        </w:rPr>
        <w:t>Taktische Bewertung</w:t>
      </w:r>
    </w:p>
    <w:p>
      <w:pPr>
        <w:jc w:val="left"/>
      </w:pPr>
      <w:r>
        <w:t>Der beste nächste Schritt ist eine gestufte Reaktion. Erstens wird die Akte geschlossen: Stoff- und Strahlenmatrix bis zum 30.06.2026, saP-Kartierung im Fenster von März bis Juni, Anschlussbegehren beim Verteilnetzbetreiber, BAFA-Voranfrage zu Gyrotron- und Tritiumkomponenten. Zweitens wird das Behördenvorgespräch mit StMUV und Landratsamt binnen acht Wochen auf Grundlage des vorbereiteten Fragenpakets geführt; verwendet werden ausschließlich die freigegebenen Formulierungen der juristisch korrigierten Ministeriumsvorlage, die Begriffe 'genehmigungsfrei' und 'praktisch abfallfrei' sind gesperrt. Drittens wird die Phasenentkopplung fixiert: Die Genehmigung nach § 12 StrlSchG ist das führende Verfahren, die Transrapid-Planfeststellung folgt als Phase 2, weil ihre realistische Dauer von vier bis sechs Jahren – bei Verbandsklagen zwei weitere Jahre – sonst zum kritischen Pfad des Gesamtprojekts wird. Viertens werden der Konsortialvertrag mit den drei Forschungspartnern und die Prüfung der Meldepflicht nach §§ 55 ff. AWV für den außereuropäischen Ankerinvestor abgeschlossen, bevor das Series-B-Term-Sheet unterschrieben wird.</w:t>
      </w:r>
    </w:p>
    <w:p>
      <w:pPr>
        <w:pStyle w:val="Heading2"/>
      </w:pPr>
      <w:r>
        <w:rPr>
          <w:rFonts w:ascii="Times New Roman" w:hAnsi="Times New Roman"/>
        </w:rPr>
        <w:t>Ergebnis</w:t>
      </w:r>
    </w:p>
    <w:p>
      <w:pPr>
        <w:jc w:val="left"/>
      </w:pPr>
      <w:r>
        <w:t>Die Akte ist nicht mit einem einfachen Ja oder Nein erledigt. Gesichert ist: Die Fusionsanlage fällt nicht unter § 7 AtG, benötigt aber das volle Genehmigungsprogramm des Strahlenschutzrechts, eine Bauleitplanung der Gemeinde Seehaupten und voraussichtlich ein Raumordnungsverfahren mit Alternativenprüfung; der gewünschte Mischbetrieb des Transrapid aus Werks- und Besucherverkehr führt zwingend in die Planfeststellung nach § 2 AMbG mit Umweltverträglichkeitsprüfung. Offen sind die Nachweise, nicht der Rahmen. Wer jetzt die Frist des Sicherheitsbeirats hält, das Kartierungsfenster nutzt und die Kommunikation diszipliniert, kann das Vorhaben tragfähig machen. Wer dagegen den Ton des Investorencalls fortsetzt, verliert zuerst die Gemeinde, dann die Behörden und zuletzt die Investoren.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