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Klagefreigabe</w:t>
      </w:r>
    </w:p>
    <w:p>
      <w:pPr>
        <w:pStyle w:val="Heading2"/>
      </w:pPr>
      <w:r>
        <w:rPr>
          <w:rFonts w:ascii="Times New Roman" w:hAnsi="Times New Roman"/>
        </w:rPr>
        <w:t>Ergebnis</w:t>
      </w:r>
    </w:p>
    <w:p>
      <w:pPr>
        <w:jc w:val="left"/>
      </w:pPr>
      <w:r>
        <w:t>Keine Klage über die Hauptforderung.</w:t>
      </w:r>
    </w:p>
    <w:p>
      <w:pPr>
        <w:jc w:val="left"/>
      </w:pPr>
      <w:r>
        <w:t>Die Hauptforderung von 698,00 EUR ist am 26.06.2025 gezahlt worden. Die Zahlung war der InkassoZentrale spätestens am 01.07.2025 intern bekannt. Die Klageschrift vom 25.07.2025 durfte diese Hauptforderung deshalb nicht mehr als Zahlungsantrag enthalten.</w:t>
      </w:r>
    </w:p>
    <w:p>
      <w:pPr>
        <w:pStyle w:val="Heading2"/>
      </w:pPr>
      <w:r>
        <w:rPr>
          <w:rFonts w:ascii="Times New Roman" w:hAnsi="Times New Roman"/>
        </w:rPr>
        <w:t>Freigegebene Positionen</w:t>
      </w:r>
    </w:p>
    <w:p>
      <w:pPr>
        <w:jc w:val="left"/>
      </w:pPr>
      <w:r>
        <w:t>Keine Position ist ohne weitere anwaltliche Freigabe grün.</w:t>
      </w:r>
    </w:p>
    <w:p>
      <w:pPr>
        <w:pStyle w:val="Heading2"/>
      </w:pPr>
      <w:r>
        <w:rPr>
          <w:rFonts w:ascii="Times New Roman" w:hAnsi="Times New Roman"/>
        </w:rPr>
        <w:t>Gelbe 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Warum gelb</w:t>
            </w:r>
          </w:p>
        </w:tc>
      </w:tr>
      <w:tr>
        <w:tc>
          <w:tcPr>
            <w:tcW w:type="dxa" w:w="3024"/>
          </w:tcPr>
          <w:p>
            <w:r>
              <w:rPr>
                <w:rFonts w:ascii="Times New Roman" w:hAnsi="Times New Roman"/>
                <w:sz w:val="20"/>
              </w:rPr>
              <w:t>Mahnkosten</w:t>
            </w:r>
          </w:p>
        </w:tc>
        <w:tc>
          <w:tcPr>
            <w:tcW w:type="dxa" w:w="3024"/>
          </w:tcPr>
          <w:p>
            <w:r>
              <w:rPr>
                <w:rFonts w:ascii="Times New Roman" w:hAnsi="Times New Roman"/>
                <w:sz w:val="20"/>
              </w:rPr>
              <w:t>5,50 EUR</w:t>
            </w:r>
          </w:p>
        </w:tc>
        <w:tc>
          <w:tcPr>
            <w:tcW w:type="dxa" w:w="3024"/>
          </w:tcPr>
          <w:p>
            <w:r>
              <w:rPr>
                <w:rFonts w:ascii="Times New Roman" w:hAnsi="Times New Roman"/>
                <w:sz w:val="20"/>
              </w:rPr>
              <w:t>Zugang, konkrete Höhe und Erforderlichkeit prüfen.</w:t>
            </w:r>
          </w:p>
        </w:tc>
      </w:tr>
      <w:tr>
        <w:tc>
          <w:tcPr>
            <w:tcW w:type="dxa" w:w="3024"/>
          </w:tcPr>
          <w:p>
            <w:r>
              <w:rPr>
                <w:rFonts w:ascii="Times New Roman" w:hAnsi="Times New Roman"/>
                <w:sz w:val="20"/>
              </w:rPr>
              <w:t>Verzugszinsen</w:t>
            </w:r>
          </w:p>
        </w:tc>
        <w:tc>
          <w:tcPr>
            <w:tcW w:type="dxa" w:w="3024"/>
          </w:tcPr>
          <w:p>
            <w:r>
              <w:rPr>
                <w:rFonts w:ascii="Times New Roman" w:hAnsi="Times New Roman"/>
                <w:sz w:val="20"/>
              </w:rPr>
              <w:t>10,80 EUR</w:t>
            </w:r>
          </w:p>
        </w:tc>
        <w:tc>
          <w:tcPr>
            <w:tcW w:type="dxa" w:w="3024"/>
          </w:tcPr>
          <w:p>
            <w:r>
              <w:rPr>
                <w:rFonts w:ascii="Times New Roman" w:hAnsi="Times New Roman"/>
                <w:sz w:val="20"/>
              </w:rPr>
              <w:t>Zeitraum, Basiszinssatz und Ende wegen Zahlung am 26.06.2025 prüfen.</w:t>
            </w:r>
          </w:p>
        </w:tc>
      </w:tr>
      <w:tr>
        <w:tc>
          <w:tcPr>
            <w:tcW w:type="dxa" w:w="3024"/>
          </w:tcPr>
          <w:p>
            <w:r>
              <w:rPr>
                <w:rFonts w:ascii="Times New Roman" w:hAnsi="Times New Roman"/>
                <w:sz w:val="20"/>
              </w:rPr>
              <w:t>Inkassokosten</w:t>
            </w:r>
          </w:p>
        </w:tc>
        <w:tc>
          <w:tcPr>
            <w:tcW w:type="dxa" w:w="3024"/>
          </w:tcPr>
          <w:p>
            <w:r>
              <w:rPr>
                <w:rFonts w:ascii="Times New Roman" w:hAnsi="Times New Roman"/>
                <w:sz w:val="20"/>
              </w:rPr>
              <w:t>83,54 EUR</w:t>
            </w:r>
          </w:p>
        </w:tc>
        <w:tc>
          <w:tcPr>
            <w:tcW w:type="dxa" w:w="3024"/>
          </w:tcPr>
          <w:p>
            <w:r>
              <w:rPr>
                <w:rFonts w:ascii="Times New Roman" w:hAnsi="Times New Roman"/>
                <w:sz w:val="20"/>
              </w:rPr>
              <w:t>Verzug vor Inkassoauftrag, Erforderlichkeit, Höhe und Verbrauchereinwendungen prüfen.</w:t>
            </w:r>
          </w:p>
        </w:tc>
      </w:tr>
    </w:tbl>
    <w:p>
      <w:pPr>
        <w:pStyle w:val="Heading2"/>
      </w:pPr>
      <w:r>
        <w:rPr>
          <w:rFonts w:ascii="Times New Roman" w:hAnsi="Times New Roman"/>
        </w:rPr>
        <w:t>Rote Positionen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Betrag</w:t>
            </w:r>
          </w:p>
        </w:tc>
        <w:tc>
          <w:tcPr>
            <w:tcW w:type="dxa" w:w="3024"/>
          </w:tcPr>
          <w:p>
            <w:r>
              <w:rPr>
                <w:rFonts w:ascii="Times New Roman" w:hAnsi="Times New Roman"/>
                <w:b/>
                <w:sz w:val="20"/>
              </w:rPr>
              <w:t>Warum rot</w:t>
            </w:r>
          </w:p>
        </w:tc>
      </w:tr>
      <w:tr>
        <w:tc>
          <w:tcPr>
            <w:tcW w:type="dxa" w:w="3024"/>
          </w:tcPr>
          <w:p>
            <w:r>
              <w:rPr>
                <w:rFonts w:ascii="Times New Roman" w:hAnsi="Times New Roman"/>
                <w:sz w:val="20"/>
              </w:rPr>
              <w:t>Hauptforderung</w:t>
            </w:r>
          </w:p>
        </w:tc>
        <w:tc>
          <w:tcPr>
            <w:tcW w:type="dxa" w:w="3024"/>
          </w:tcPr>
          <w:p>
            <w:r>
              <w:rPr>
                <w:rFonts w:ascii="Times New Roman" w:hAnsi="Times New Roman"/>
                <w:sz w:val="20"/>
              </w:rPr>
              <w:t>698,00 EUR</w:t>
            </w:r>
          </w:p>
        </w:tc>
        <w:tc>
          <w:tcPr>
            <w:tcW w:type="dxa" w:w="3024"/>
          </w:tcPr>
          <w:p>
            <w:r>
              <w:rPr>
                <w:rFonts w:ascii="Times New Roman" w:hAnsi="Times New Roman"/>
                <w:sz w:val="20"/>
              </w:rPr>
              <w:t>Vor Klageeinreichung erfüllt und aktenkundig.</w:t>
            </w:r>
          </w:p>
        </w:tc>
      </w:tr>
    </w:tbl>
    <w:p>
      <w:pPr>
        <w:pStyle w:val="Heading2"/>
      </w:pPr>
      <w:r>
        <w:rPr>
          <w:rFonts w:ascii="Times New Roman" w:hAnsi="Times New Roman"/>
        </w:rPr>
        <w:t>Empfehlung</w:t>
      </w:r>
    </w:p>
    <w:p>
      <w:pPr>
        <w:pStyle w:val="ListNumber"/>
      </w:pPr>
      <w:r>
        <w:t>Hauptforderung aus Antrag und Streitwert streichen.</w:t>
      </w:r>
    </w:p>
    <w:p>
      <w:pPr>
        <w:pStyle w:val="ListNumber"/>
      </w:pPr>
      <w:r>
        <w:t>Nebenforderungen isoliert prüfen und wegen des geringen Betrags einen Vergleichsvorschlag erwägen.</w:t>
      </w:r>
    </w:p>
    <w:p>
      <w:pPr>
        <w:pStyle w:val="ListNumber"/>
      </w:pPr>
      <w:r>
        <w:t>Wenn geklagt wird, nur die freigegebenen Nebenforderungen beantragen und die Erfüllung der Hauptforderung offen darstellen.</w:t>
      </w:r>
    </w:p>
    <w:p>
      <w:pPr>
        <w:pStyle w:val="ListNumber"/>
      </w:pPr>
      <w:r>
        <w:t>Kostenrisiko wegen § 93 ZPO und sofortigem Anerkenntnis in die Mandanteninformation aufnehmen.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